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D" w:rsidRPr="004C0D66" w:rsidRDefault="0058656D" w:rsidP="00532DE4">
      <w:pPr>
        <w:rPr>
          <w:sz w:val="56"/>
          <w:szCs w:val="56"/>
        </w:rPr>
      </w:pPr>
    </w:p>
    <w:p w:rsidR="00532DE4" w:rsidRPr="004C0D66" w:rsidRDefault="00532DE4" w:rsidP="00532DE4">
      <w:pPr>
        <w:rPr>
          <w:sz w:val="56"/>
          <w:szCs w:val="56"/>
        </w:rPr>
      </w:pPr>
    </w:p>
    <w:p w:rsidR="0058656D" w:rsidRPr="004C0D66" w:rsidRDefault="0058656D" w:rsidP="0058656D">
      <w:pPr>
        <w:jc w:val="center"/>
        <w:rPr>
          <w:sz w:val="56"/>
          <w:szCs w:val="56"/>
        </w:rPr>
      </w:pPr>
    </w:p>
    <w:p w:rsidR="00BA77F7" w:rsidRPr="004C0D66" w:rsidRDefault="009B5789" w:rsidP="0058656D">
      <w:pPr>
        <w:jc w:val="center"/>
        <w:rPr>
          <w:sz w:val="56"/>
          <w:szCs w:val="56"/>
        </w:rPr>
      </w:pPr>
      <w:r w:rsidRPr="004C0D66">
        <w:rPr>
          <w:sz w:val="56"/>
          <w:szCs w:val="56"/>
        </w:rPr>
        <w:t>Unglingasmiðjurnar Stígur og Tröð</w:t>
      </w:r>
    </w:p>
    <w:p w:rsidR="009B5789" w:rsidRPr="004C0D66" w:rsidRDefault="009B5789" w:rsidP="00532DE4">
      <w:pPr>
        <w:jc w:val="center"/>
        <w:rPr>
          <w:sz w:val="44"/>
          <w:szCs w:val="44"/>
        </w:rPr>
      </w:pPr>
      <w:r w:rsidRPr="004C0D66">
        <w:rPr>
          <w:sz w:val="44"/>
          <w:szCs w:val="44"/>
        </w:rPr>
        <w:t xml:space="preserve">Árskýrsla </w:t>
      </w:r>
      <w:r w:rsidR="0058656D" w:rsidRPr="004C0D66">
        <w:rPr>
          <w:sz w:val="44"/>
          <w:szCs w:val="44"/>
        </w:rPr>
        <w:t xml:space="preserve">veturinn </w:t>
      </w:r>
      <w:r w:rsidRPr="004C0D66">
        <w:rPr>
          <w:sz w:val="44"/>
          <w:szCs w:val="44"/>
        </w:rPr>
        <w:t>2011</w:t>
      </w:r>
      <w:r w:rsidR="00AC540B" w:rsidRPr="004C0D66">
        <w:rPr>
          <w:sz w:val="44"/>
          <w:szCs w:val="44"/>
        </w:rPr>
        <w:t>-2012</w:t>
      </w:r>
    </w:p>
    <w:p w:rsidR="009B5789" w:rsidRPr="004C0D66" w:rsidRDefault="009B5789"/>
    <w:p w:rsidR="009B5789" w:rsidRPr="004C0D66" w:rsidRDefault="00532DE4" w:rsidP="00532DE4">
      <w:pPr>
        <w:jc w:val="center"/>
      </w:pPr>
      <w:r w:rsidRPr="004C0D66">
        <w:rPr>
          <w:noProof/>
          <w:color w:val="3E1B59"/>
          <w:sz w:val="24"/>
          <w:szCs w:val="24"/>
          <w:lang w:eastAsia="is-IS"/>
        </w:rPr>
        <w:drawing>
          <wp:inline distT="0" distB="0" distL="0" distR="0" wp14:anchorId="1ADAC477" wp14:editId="55AFBFED">
            <wp:extent cx="2729865" cy="1825597"/>
            <wp:effectExtent l="19050" t="0" r="0" b="0"/>
            <wp:docPr id="10" name="Picture 10" descr="N:\Þórunn gögn\Tóta gögn\Myndir\07-hestar\CIMG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Þórunn gögn\Tóta gögn\Myndir\07-hestar\CIMG9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82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89" w:rsidRPr="004C0D66" w:rsidRDefault="009B5789"/>
    <w:p w:rsidR="009B5789" w:rsidRPr="004C0D66" w:rsidRDefault="009B5789"/>
    <w:p w:rsidR="009B5789" w:rsidRPr="004C0D66" w:rsidRDefault="009B5789"/>
    <w:p w:rsidR="009B5789" w:rsidRPr="004C0D66" w:rsidRDefault="009B5789"/>
    <w:p w:rsidR="009B5789" w:rsidRPr="004C0D66" w:rsidRDefault="009B5789"/>
    <w:p w:rsidR="009B5789" w:rsidRPr="004C0D66" w:rsidRDefault="009B5789"/>
    <w:p w:rsidR="009B5789" w:rsidRPr="004C0D66" w:rsidRDefault="009B5789"/>
    <w:p w:rsidR="00532DE4" w:rsidRPr="004C0D66" w:rsidRDefault="00532DE4"/>
    <w:p w:rsidR="009B5789" w:rsidRPr="004C0D66" w:rsidRDefault="00FA075C" w:rsidP="0058656D">
      <w:pPr>
        <w:jc w:val="right"/>
      </w:pPr>
      <w:r w:rsidRPr="004C0D66">
        <w:rPr>
          <w:noProof/>
          <w:lang w:eastAsia="is-IS"/>
        </w:rPr>
        <w:drawing>
          <wp:inline distT="0" distB="0" distL="0" distR="0" wp14:anchorId="5262D7DD" wp14:editId="35002149">
            <wp:extent cx="2400701" cy="706130"/>
            <wp:effectExtent l="0" t="0" r="0" b="0"/>
            <wp:docPr id="1" name="Mynd 1" descr="C:\Users\heidaok5809\Desktop\Bholt_logo_einkunnarord_R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aok5809\Desktop\Bholt_logo_einkunnarord_RV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94" cy="70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89" w:rsidRPr="004C0D66" w:rsidRDefault="009B5789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29474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20E1C" w:rsidRPr="004C0D66" w:rsidRDefault="00B20E1C">
          <w:pPr>
            <w:pStyle w:val="Fyrirsgnefnisyfirlits"/>
          </w:pPr>
          <w:r w:rsidRPr="004C0D66">
            <w:t>Innihald</w:t>
          </w:r>
        </w:p>
        <w:p w:rsidR="00361C46" w:rsidRDefault="00985F51">
          <w:pPr>
            <w:pStyle w:val="Efnisyfirlit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r w:rsidRPr="004C0D66">
            <w:fldChar w:fldCharType="begin"/>
          </w:r>
          <w:r w:rsidR="00B20E1C" w:rsidRPr="004C0D66">
            <w:instrText xml:space="preserve"> TOC \o "1-3" \h \z \u </w:instrText>
          </w:r>
          <w:r w:rsidRPr="004C0D66">
            <w:fldChar w:fldCharType="separate"/>
          </w:r>
          <w:hyperlink w:anchor="_Toc371061021" w:history="1">
            <w:r w:rsidR="00361C46" w:rsidRPr="005A1CC2">
              <w:rPr>
                <w:rStyle w:val="Tengill"/>
                <w:noProof/>
              </w:rPr>
              <w:t>Stígur og Tröð</w:t>
            </w:r>
            <w:r w:rsidR="00361C46">
              <w:rPr>
                <w:noProof/>
                <w:webHidden/>
              </w:rPr>
              <w:tab/>
            </w:r>
            <w:r w:rsidR="00361C46">
              <w:rPr>
                <w:noProof/>
                <w:webHidden/>
              </w:rPr>
              <w:fldChar w:fldCharType="begin"/>
            </w:r>
            <w:r w:rsidR="00361C46">
              <w:rPr>
                <w:noProof/>
                <w:webHidden/>
              </w:rPr>
              <w:instrText xml:space="preserve"> PAGEREF _Toc371061021 \h </w:instrText>
            </w:r>
            <w:r w:rsidR="00361C46">
              <w:rPr>
                <w:noProof/>
                <w:webHidden/>
              </w:rPr>
            </w:r>
            <w:r w:rsidR="00361C46">
              <w:rPr>
                <w:noProof/>
                <w:webHidden/>
              </w:rPr>
              <w:fldChar w:fldCharType="separate"/>
            </w:r>
            <w:r w:rsidR="00361C46">
              <w:rPr>
                <w:noProof/>
                <w:webHidden/>
              </w:rPr>
              <w:t>3</w:t>
            </w:r>
            <w:r w:rsidR="00361C46"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22" w:history="1">
            <w:r w:rsidRPr="005A1CC2">
              <w:rPr>
                <w:rStyle w:val="Tengill"/>
                <w:noProof/>
              </w:rPr>
              <w:t>Umsóknir og inntökuferli: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23" w:history="1">
            <w:r w:rsidRPr="005A1CC2">
              <w:rPr>
                <w:rStyle w:val="Tengill"/>
                <w:noProof/>
              </w:rPr>
              <w:t>Starfsemi unglingasmiðjanna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24" w:history="1">
            <w:r w:rsidRPr="005A1CC2">
              <w:rPr>
                <w:rStyle w:val="Tengill"/>
                <w:noProof/>
              </w:rPr>
              <w:t>Foreldrasamstarf: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25" w:history="1">
            <w:r w:rsidRPr="005A1CC2">
              <w:rPr>
                <w:rStyle w:val="Tengill"/>
                <w:noProof/>
              </w:rPr>
              <w:t>Fagteymi: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26" w:history="1">
            <w:r w:rsidRPr="005A1CC2">
              <w:rPr>
                <w:rStyle w:val="Tengill"/>
                <w:noProof/>
              </w:rPr>
              <w:t>Unglingabrúin: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27" w:history="1">
            <w:r w:rsidRPr="005A1CC2">
              <w:rPr>
                <w:rStyle w:val="Tengill"/>
                <w:noProof/>
              </w:rPr>
              <w:t>Þjónustukönnun Veturinn 2011-2012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28" w:history="1">
            <w:r w:rsidRPr="005A1CC2">
              <w:rPr>
                <w:rStyle w:val="Tengill"/>
                <w:noProof/>
              </w:rPr>
              <w:t>Umsóknarfjöldi og nýjar vistanir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29" w:history="1">
            <w:r w:rsidRPr="005A1CC2">
              <w:rPr>
                <w:rStyle w:val="Tengill"/>
                <w:noProof/>
              </w:rPr>
              <w:t>Tölulegar upplýsingar veturinn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30" w:history="1">
            <w:r w:rsidRPr="005A1CC2">
              <w:rPr>
                <w:rStyle w:val="Tengill"/>
                <w:noProof/>
              </w:rPr>
              <w:t>Nýjar vistanir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31" w:history="1">
            <w:r w:rsidRPr="005A1CC2">
              <w:rPr>
                <w:rStyle w:val="Tengill"/>
                <w:noProof/>
              </w:rPr>
              <w:t>Fæðingarár og aldur við komu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32" w:history="1">
            <w:r w:rsidRPr="005A1CC2">
              <w:rPr>
                <w:rStyle w:val="Tengill"/>
                <w:noProof/>
              </w:rPr>
              <w:t>Skóli nýrra vistaðra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33" w:history="1">
            <w:r w:rsidRPr="005A1CC2">
              <w:rPr>
                <w:rStyle w:val="Tengill"/>
                <w:noProof/>
              </w:rPr>
              <w:t>Tilvísendur nýrra vistana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34" w:history="1">
            <w:r w:rsidRPr="005A1CC2">
              <w:rPr>
                <w:rStyle w:val="Tengill"/>
                <w:noProof/>
              </w:rPr>
              <w:t>Tilgreindar ástæður vistunar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35" w:history="1">
            <w:r w:rsidRPr="005A1CC2">
              <w:rPr>
                <w:rStyle w:val="Tengill"/>
                <w:noProof/>
              </w:rPr>
              <w:t>Útskrifaðir og dvalarlengd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C46" w:rsidRDefault="00361C46">
          <w:pPr>
            <w:pStyle w:val="Efnisyfirlit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71061036" w:history="1">
            <w:r w:rsidRPr="005A1CC2">
              <w:rPr>
                <w:rStyle w:val="Tengill"/>
                <w:noProof/>
              </w:rPr>
              <w:t>Lokaorð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_Toc371061036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0E1C" w:rsidRPr="004C0D66" w:rsidRDefault="00985F51">
          <w:r w:rsidRPr="004C0D66">
            <w:rPr>
              <w:b/>
              <w:bCs/>
              <w:noProof/>
            </w:rPr>
            <w:fldChar w:fldCharType="end"/>
          </w:r>
        </w:p>
      </w:sdtContent>
    </w:sdt>
    <w:p w:rsidR="009B5789" w:rsidRPr="004C0D66" w:rsidRDefault="009B5789"/>
    <w:p w:rsidR="009B5789" w:rsidRPr="004C0D66" w:rsidRDefault="009B5789">
      <w:bookmarkStart w:id="0" w:name="_GoBack"/>
      <w:bookmarkEnd w:id="0"/>
    </w:p>
    <w:p w:rsidR="009B5789" w:rsidRPr="004C0D66" w:rsidRDefault="009B5789"/>
    <w:p w:rsidR="009B5789" w:rsidRPr="004C0D66" w:rsidRDefault="009B5789"/>
    <w:p w:rsidR="009B5789" w:rsidRPr="004C0D66" w:rsidRDefault="009B5789"/>
    <w:p w:rsidR="009B5789" w:rsidRPr="004C0D66" w:rsidRDefault="009B5789"/>
    <w:p w:rsidR="009B5789" w:rsidRPr="004C0D66" w:rsidRDefault="009B5789"/>
    <w:p w:rsidR="009B5789" w:rsidRPr="004C0D66" w:rsidRDefault="009B5789"/>
    <w:p w:rsidR="009B5789" w:rsidRPr="004C0D66" w:rsidRDefault="009B5789"/>
    <w:p w:rsidR="008309C6" w:rsidRDefault="008309C6"/>
    <w:p w:rsidR="00B265A5" w:rsidRDefault="00B265A5"/>
    <w:p w:rsidR="00B265A5" w:rsidRPr="004C0D66" w:rsidRDefault="00B265A5"/>
    <w:p w:rsidR="00BF181F" w:rsidRPr="004C0D66" w:rsidRDefault="00BF181F" w:rsidP="00CC40F7">
      <w:pPr>
        <w:jc w:val="both"/>
      </w:pPr>
      <w:r w:rsidRPr="004C0D66">
        <w:t>Frá árinu 1977 hefur Reykjavíkurborg rekið Unglingasmiðjurnar (áður unglingaathvörf) og er starfsemin en</w:t>
      </w:r>
      <w:r w:rsidR="00076118" w:rsidRPr="004C0D66">
        <w:t>n</w:t>
      </w:r>
      <w:r w:rsidRPr="004C0D66">
        <w:t>þá í fullum gangi og eru unglin</w:t>
      </w:r>
      <w:r w:rsidR="006F317B" w:rsidRPr="004C0D66">
        <w:t>g</w:t>
      </w:r>
      <w:r w:rsidRPr="004C0D66">
        <w:t>asmiðjurnar starfræktar á tveimur stöðum í Reykjavík.</w:t>
      </w:r>
    </w:p>
    <w:p w:rsidR="00EB2265" w:rsidRPr="004C0D66" w:rsidRDefault="00EB2265" w:rsidP="00CC40F7">
      <w:pPr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>Í kjölfar efnahagshrunsins árið 2008 varð varanleg breyting á starfsemi unglingasmiðjanna árið 2009, þegar einn forstöðumaður tók við báðum smiðjunum. Veturinn 2011-2012 voru starfræktir fjórir hópar í tveimur smiðjum sem sinntu 32 unglingum. 10 starfsmenn starfa hjá unglingasmiðjunum í 33,33 % starfi auk tveggja starfsmanna sem starfa við verkefnið Unglingabrúnna. Unglingabrúin er samstarfsverkefni á milli Unglingasmiðjunar Tröð, Frístundamiðstöðvarinnar Miðbergs og Fjölbrautarskólans í Breiðholti.</w:t>
      </w:r>
      <w:r w:rsidR="001B6DA4" w:rsidRPr="004C0D66">
        <w:rPr>
          <w:rFonts w:eastAsia="Times New Roman" w:cs="Times New Roman"/>
        </w:rPr>
        <w:t xml:space="preserve"> Sex unglingar mættu reglulega einu sinni í viku í unglingabrúnna og verkefnið nýttist þeim einstaklingum mjög vel.</w:t>
      </w:r>
    </w:p>
    <w:p w:rsidR="00EB2265" w:rsidRPr="004C0D66" w:rsidRDefault="00EB2265" w:rsidP="00CC40F7">
      <w:pPr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 xml:space="preserve">Í </w:t>
      </w:r>
      <w:r w:rsidR="00076118" w:rsidRPr="004C0D66">
        <w:rPr>
          <w:rFonts w:eastAsia="Times New Roman" w:cs="Times New Roman"/>
        </w:rPr>
        <w:t>árskýrslunni</w:t>
      </w:r>
      <w:r w:rsidRPr="004C0D66">
        <w:rPr>
          <w:rFonts w:eastAsia="Times New Roman" w:cs="Times New Roman"/>
        </w:rPr>
        <w:t xml:space="preserve"> verður almennra upplýsinga um starfið gerð skil auk ýtarlegar tölulegar upplýsingar um starfsemina síðastliðin vetur og að lokum verður reynt að leggja mat á árangur síðastliðins árs. </w:t>
      </w:r>
    </w:p>
    <w:p w:rsidR="00EB2265" w:rsidRPr="004C0D66" w:rsidRDefault="00076118" w:rsidP="00CC40F7">
      <w:pPr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>Undirrituð hefur nú starfað sem forstöðumaður unglingasmiðjanna</w:t>
      </w:r>
      <w:r w:rsidR="00EB2265" w:rsidRPr="004C0D66">
        <w:rPr>
          <w:rFonts w:eastAsia="Times New Roman" w:cs="Times New Roman"/>
        </w:rPr>
        <w:t xml:space="preserve"> frá janúar 2011 þegar Þórun</w:t>
      </w:r>
      <w:r w:rsidRPr="004C0D66">
        <w:rPr>
          <w:rFonts w:eastAsia="Times New Roman" w:cs="Times New Roman"/>
        </w:rPr>
        <w:t>n</w:t>
      </w:r>
      <w:r w:rsidR="00EB2265" w:rsidRPr="004C0D66">
        <w:rPr>
          <w:rFonts w:eastAsia="Times New Roman" w:cs="Times New Roman"/>
        </w:rPr>
        <w:t xml:space="preserve"> Óskars</w:t>
      </w:r>
      <w:r w:rsidRPr="004C0D66">
        <w:rPr>
          <w:rFonts w:eastAsia="Times New Roman" w:cs="Times New Roman"/>
        </w:rPr>
        <w:t>dóttir lét af störfum eftir 24</w:t>
      </w:r>
      <w:r w:rsidR="00EB2265" w:rsidRPr="004C0D66">
        <w:rPr>
          <w:rFonts w:eastAsia="Times New Roman" w:cs="Times New Roman"/>
        </w:rPr>
        <w:t xml:space="preserve"> ár. </w:t>
      </w:r>
      <w:r w:rsidR="008309C6" w:rsidRPr="004C0D66">
        <w:rPr>
          <w:rFonts w:eastAsia="Times New Roman" w:cs="Times New Roman"/>
        </w:rPr>
        <w:t>Veturinn 2011-2012 hefur verið viðburðaríkur og farsæll</w:t>
      </w:r>
      <w:r w:rsidR="00EB2265" w:rsidRPr="004C0D66">
        <w:rPr>
          <w:rFonts w:eastAsia="Times New Roman" w:cs="Times New Roman"/>
        </w:rPr>
        <w:t xml:space="preserve"> og í apríl </w:t>
      </w:r>
      <w:r w:rsidR="008309C6" w:rsidRPr="004C0D66">
        <w:rPr>
          <w:rFonts w:eastAsia="Times New Roman" w:cs="Times New Roman"/>
        </w:rPr>
        <w:t xml:space="preserve">2012 </w:t>
      </w:r>
      <w:r w:rsidR="00EB2265" w:rsidRPr="004C0D66">
        <w:rPr>
          <w:rFonts w:eastAsia="Times New Roman" w:cs="Times New Roman"/>
        </w:rPr>
        <w:t xml:space="preserve">hóf undirrituð fæðingarorlof og Belinda Karlsdóttir uppeldis- og menntunarfræðingur </w:t>
      </w:r>
      <w:r w:rsidR="008309C6" w:rsidRPr="004C0D66">
        <w:rPr>
          <w:rFonts w:eastAsia="Times New Roman" w:cs="Times New Roman"/>
        </w:rPr>
        <w:t>gegndi</w:t>
      </w:r>
      <w:r w:rsidR="00EB2265" w:rsidRPr="004C0D66">
        <w:rPr>
          <w:rFonts w:eastAsia="Times New Roman" w:cs="Times New Roman"/>
        </w:rPr>
        <w:t xml:space="preserve"> afleysingastöðu forstöðumanns til eins árs</w:t>
      </w:r>
      <w:r w:rsidR="008309C6" w:rsidRPr="004C0D66">
        <w:rPr>
          <w:rFonts w:eastAsia="Times New Roman" w:cs="Times New Roman"/>
        </w:rPr>
        <w:t>.</w:t>
      </w:r>
    </w:p>
    <w:p w:rsidR="00EB2265" w:rsidRPr="004C0D66" w:rsidRDefault="00EB2265" w:rsidP="00EB2265">
      <w:pPr>
        <w:spacing w:after="0"/>
        <w:rPr>
          <w:rFonts w:eastAsia="Times New Roman" w:cs="Times New Roman"/>
        </w:rPr>
      </w:pPr>
      <w:r w:rsidRPr="004C0D66">
        <w:rPr>
          <w:rFonts w:eastAsia="Times New Roman" w:cs="Times New Roman"/>
        </w:rPr>
        <w:t>Heiða Ösp Kristjánsdóttir</w:t>
      </w:r>
    </w:p>
    <w:p w:rsidR="00EB2265" w:rsidRPr="004C0D66" w:rsidRDefault="00EB2265" w:rsidP="00EB2265">
      <w:pPr>
        <w:spacing w:after="0"/>
        <w:rPr>
          <w:rFonts w:eastAsia="Times New Roman" w:cs="Times New Roman"/>
        </w:rPr>
      </w:pPr>
      <w:r w:rsidRPr="004C0D66">
        <w:rPr>
          <w:rFonts w:eastAsia="Times New Roman" w:cs="Times New Roman"/>
        </w:rPr>
        <w:t xml:space="preserve">Forstöðumaður unglingasmiðjanna Traðar og Stígs </w:t>
      </w:r>
    </w:p>
    <w:p w:rsidR="00EB2265" w:rsidRPr="004C0D66" w:rsidRDefault="00EB2265"/>
    <w:p w:rsidR="00033B10" w:rsidRPr="004C0D66" w:rsidRDefault="00033B10"/>
    <w:p w:rsidR="00033B10" w:rsidRPr="004C0D66" w:rsidRDefault="00033B10"/>
    <w:p w:rsidR="00033B10" w:rsidRPr="004C0D66" w:rsidRDefault="00033B10"/>
    <w:p w:rsidR="00033B10" w:rsidRPr="004C0D66" w:rsidRDefault="00033B10"/>
    <w:p w:rsidR="00033B10" w:rsidRPr="004C0D66" w:rsidRDefault="00033B10"/>
    <w:p w:rsidR="00033B10" w:rsidRPr="004C0D66" w:rsidRDefault="00033B10"/>
    <w:p w:rsidR="00033B10" w:rsidRPr="004C0D66" w:rsidRDefault="00033B10"/>
    <w:p w:rsidR="00033B10" w:rsidRPr="004C0D66" w:rsidRDefault="00033B10"/>
    <w:p w:rsidR="00033B10" w:rsidRPr="004C0D66" w:rsidRDefault="00033B10"/>
    <w:p w:rsidR="00033B10" w:rsidRPr="004C0D66" w:rsidRDefault="00033B10"/>
    <w:p w:rsidR="00033B10" w:rsidRPr="004C0D66" w:rsidRDefault="00033B10"/>
    <w:p w:rsidR="00532DE4" w:rsidRPr="004C0D66" w:rsidRDefault="00532DE4">
      <w:pPr>
        <w:rPr>
          <w:u w:val="single"/>
        </w:rPr>
      </w:pPr>
    </w:p>
    <w:p w:rsidR="008309C6" w:rsidRPr="004C0D66" w:rsidRDefault="008309C6">
      <w:pPr>
        <w:rPr>
          <w:u w:val="single"/>
        </w:rPr>
      </w:pPr>
    </w:p>
    <w:p w:rsidR="00E62883" w:rsidRPr="004C0D66" w:rsidRDefault="00E62883" w:rsidP="00532DE4">
      <w:pPr>
        <w:pStyle w:val="Fyrirsgn1"/>
      </w:pPr>
      <w:bookmarkStart w:id="1" w:name="_Toc371061021"/>
      <w:r w:rsidRPr="004C0D66">
        <w:lastRenderedPageBreak/>
        <w:t>Stígur og Tröð</w:t>
      </w:r>
      <w:bookmarkEnd w:id="1"/>
    </w:p>
    <w:p w:rsidR="00B24BC5" w:rsidRPr="004C0D66" w:rsidRDefault="005C3241" w:rsidP="00B24BC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kern w:val="24"/>
        </w:rPr>
      </w:pPr>
      <w:r w:rsidRPr="004C0D66">
        <w:rPr>
          <w:rFonts w:eastAsia="Times New Roman" w:cs="Times New Roman"/>
        </w:rPr>
        <w:t xml:space="preserve">Báðar unglingasmiðjurnar eru sértækt úrræði fyrir félagslega einangraða og félagslega illa stadda unglinga á aldrinum 13-18 ára. </w:t>
      </w:r>
      <w:r w:rsidR="001B6DA4" w:rsidRPr="004C0D66">
        <w:rPr>
          <w:rFonts w:eastAsia="Times New Roman" w:cs="Times New Roman"/>
        </w:rPr>
        <w:t xml:space="preserve">Markmið unglingasmiðjanna </w:t>
      </w:r>
      <w:r w:rsidR="002A296A" w:rsidRPr="004C0D66">
        <w:rPr>
          <w:rFonts w:eastAsia="Times New Roman" w:cs="Times New Roman"/>
        </w:rPr>
        <w:t xml:space="preserve">að efla sjálfstraust og jákvæða sjálfsmynd unglinganna, bæta líðan, auka hæfni í félagslegum samskiptum og styrkja hópkennd og jákvæð samskipti. </w:t>
      </w:r>
      <w:r w:rsidR="00E14703" w:rsidRPr="004C0D66">
        <w:rPr>
          <w:rFonts w:cs="Calibri"/>
          <w:color w:val="000000"/>
          <w:kern w:val="24"/>
        </w:rPr>
        <w:t>Tilvísunarástæða er félagsleg einangrun og vanlíðan. Unglingarnir eru því oft vinalausir, einangraðir og með verulega slaka félagsfærni, verða fyrir eða hafa orðið fyrir einelti, eru óvirkir í samfélaginu og óframfærnir, hafa lítið sjálfstraust og neikvæða sjálfsmynd</w:t>
      </w:r>
      <w:r w:rsidR="00B24BC5" w:rsidRPr="004C0D66">
        <w:rPr>
          <w:rFonts w:cs="Calibri"/>
          <w:color w:val="000000"/>
          <w:kern w:val="24"/>
        </w:rPr>
        <w:t xml:space="preserve">. </w:t>
      </w:r>
      <w:r w:rsidR="00E14703" w:rsidRPr="004C0D66">
        <w:rPr>
          <w:rFonts w:cs="Calibri"/>
          <w:color w:val="000000"/>
          <w:kern w:val="24"/>
        </w:rPr>
        <w:t>Hluti af þátttakendunum er með kvíða og/eða þunglyndiseinkenni auk þroskaraskana. Skólaumhverfið er erfitt fyrir marga bæði námslega og félagslega. Geta þátttakendanna er því þannig að þeir geta ekki nýtt sér þátttöku í tómstundarstarfi og öðru sem þroskar einstaklinginn til jákvæðra félagslegra samskipta og heilsusamlegra lífs</w:t>
      </w:r>
      <w:r w:rsidR="00B24BC5" w:rsidRPr="004C0D66">
        <w:t>. Nánari upplýsingar um þátttakendur má finna í kaflanum tölulegar upplýsingar.</w:t>
      </w:r>
    </w:p>
    <w:p w:rsidR="00E477A7" w:rsidRPr="004C0D66" w:rsidRDefault="00E477A7" w:rsidP="001B6DA4">
      <w:pPr>
        <w:spacing w:after="0"/>
        <w:rPr>
          <w:rFonts w:eastAsia="Times New Roman" w:cs="Times New Roman"/>
        </w:rPr>
      </w:pPr>
    </w:p>
    <w:p w:rsidR="001B6DA4" w:rsidRPr="004C0D66" w:rsidRDefault="001B6DA4" w:rsidP="002A296A">
      <w:pPr>
        <w:spacing w:after="0"/>
        <w:jc w:val="both"/>
        <w:rPr>
          <w:rFonts w:eastAsia="Times New Roman" w:cs="Times New Roman"/>
        </w:rPr>
      </w:pPr>
      <w:bookmarkStart w:id="2" w:name="_Toc371061022"/>
      <w:r w:rsidRPr="004C0D66">
        <w:rPr>
          <w:rStyle w:val="Fyrirsgn2Staf"/>
        </w:rPr>
        <w:t>Umsóknir og inntökuferli:</w:t>
      </w:r>
      <w:bookmarkEnd w:id="2"/>
      <w:r w:rsidRPr="004C0D66">
        <w:rPr>
          <w:rFonts w:eastAsia="Times New Roman" w:cs="Times New Roman"/>
        </w:rPr>
        <w:t xml:space="preserve"> Starfsmenn þjónustumiðstöðva Reykjavíkurborga sækja um fyrir unglinginn og umsóknirnar fara til úthlutunarteymi barna þar sem þær eru teknar fyrir </w:t>
      </w:r>
      <w:r w:rsidR="002A296A" w:rsidRPr="004C0D66">
        <w:rPr>
          <w:rFonts w:eastAsia="Times New Roman" w:cs="Times New Roman"/>
        </w:rPr>
        <w:t>og sendar til forstöðumanns þegar þær hafa verið samþykktar hjá úthlutunarteyminu. Forstöðumaður hittir tilvísanda, unglinginn og foreldra/</w:t>
      </w:r>
      <w:r w:rsidR="00B24BC5" w:rsidRPr="004C0D66">
        <w:rPr>
          <w:rFonts w:eastAsia="Times New Roman" w:cs="Times New Roman"/>
        </w:rPr>
        <w:t>forráðamenn</w:t>
      </w:r>
      <w:r w:rsidR="002A296A" w:rsidRPr="004C0D66">
        <w:rPr>
          <w:rFonts w:eastAsia="Times New Roman" w:cs="Times New Roman"/>
        </w:rPr>
        <w:t xml:space="preserve"> áður en unglingurinn hefur þátttöku þar sem úrræðið er kynnt fyrir þeim og markmið með dvölinni rædd. </w:t>
      </w:r>
    </w:p>
    <w:p w:rsidR="00E62883" w:rsidRPr="004C0D66" w:rsidRDefault="00E62883" w:rsidP="001B6DA4"/>
    <w:p w:rsidR="00453300" w:rsidRPr="004C0D66" w:rsidRDefault="00453300" w:rsidP="00FF61CC">
      <w:pPr>
        <w:pStyle w:val="Fyrirsgn1"/>
      </w:pPr>
      <w:bookmarkStart w:id="3" w:name="_Toc371061023"/>
      <w:r w:rsidRPr="004C0D66">
        <w:t>Starfsemi unglingasmiðjanna</w:t>
      </w:r>
      <w:bookmarkEnd w:id="3"/>
      <w:r w:rsidRPr="004C0D66">
        <w:t xml:space="preserve"> </w:t>
      </w:r>
    </w:p>
    <w:p w:rsidR="00D377DD" w:rsidRPr="004C0D66" w:rsidRDefault="003122D5" w:rsidP="00033B10">
      <w:pPr>
        <w:jc w:val="both"/>
      </w:pPr>
      <w:r w:rsidRPr="004C0D66">
        <w:t>Starfræktir voru tveir hópar í hvorri smiðju og byrjaði starfsemin strax í lok ágúst þegar skólar hófust. Fyrstu vikurnar fóru í að unglingar</w:t>
      </w:r>
      <w:r w:rsidR="00033B10" w:rsidRPr="004C0D66">
        <w:t>nir voru að kynnast hvor öðrum og mynda traust. Síðan var smá saman farið í að tey</w:t>
      </w:r>
      <w:r w:rsidR="00257DC2" w:rsidRPr="004C0D66">
        <w:t>g</w:t>
      </w:r>
      <w:r w:rsidR="00033B10" w:rsidRPr="004C0D66">
        <w:t xml:space="preserve">ja </w:t>
      </w:r>
      <w:r w:rsidR="00B24BC5" w:rsidRPr="004C0D66">
        <w:t>þægindaramman</w:t>
      </w:r>
      <w:r w:rsidR="004C0D66" w:rsidRPr="004C0D66">
        <w:t>n</w:t>
      </w:r>
      <w:r w:rsidR="00033B10" w:rsidRPr="004C0D66">
        <w:t xml:space="preserve"> l</w:t>
      </w:r>
      <w:r w:rsidR="004C0D66" w:rsidRPr="004C0D66">
        <w:t>engra og að þjálfa einstaklinga</w:t>
      </w:r>
      <w:r w:rsidR="00033B10" w:rsidRPr="004C0D66">
        <w:t xml:space="preserve">na í að taka ákvarðanir sem hópur og að læra tillitsemi og samvinnu. </w:t>
      </w:r>
      <w:r w:rsidR="00D377DD" w:rsidRPr="004C0D66">
        <w:t>Á vorönn var ýmislegt gert, meðal annars undirbúið og safnað fyrir lokaferð, farið í páskaferðir í báðum smiðjum fyrir utan fjölbreytta dagskrá vikulega þar sem útiveran jókst með</w:t>
      </w:r>
      <w:r w:rsidR="009C73B0" w:rsidRPr="004C0D66">
        <w:t xml:space="preserve"> vorinu.</w:t>
      </w:r>
      <w:r w:rsidR="00D377DD" w:rsidRPr="004C0D66">
        <w:t xml:space="preserve"> </w:t>
      </w:r>
    </w:p>
    <w:p w:rsidR="0056613E" w:rsidRPr="004C0D66" w:rsidRDefault="0056613E" w:rsidP="00033B10">
      <w:pPr>
        <w:jc w:val="both"/>
      </w:pPr>
      <w:r w:rsidRPr="004C0D66">
        <w:t>Páskaferð Stí</w:t>
      </w:r>
      <w:r w:rsidR="00B24BC5" w:rsidRPr="004C0D66">
        <w:t>gs var skíðaferð í Bláfjöll. Það var</w:t>
      </w:r>
      <w:r w:rsidRPr="004C0D66">
        <w:t xml:space="preserve"> lagt af stað að morgni frá Amtmannsstígnum og haldið til fjalla. Veður var gott þrátt fyrir mikið harðfenni í fjallinu og áttu hóparnir á Stíg góðan dag, þar á meðal voru þrír unglingar að pruf</w:t>
      </w:r>
      <w:r w:rsidR="004C0D66" w:rsidRPr="004C0D66">
        <w:t>a skíði í sitt fyrsta sinn og að</w:t>
      </w:r>
      <w:r w:rsidRPr="004C0D66">
        <w:t xml:space="preserve"> eigin frumkvæði. Eftir góðan dag í fjallinu var farið í sund í Árbæjarlaug og svo haldið heim á leið fyrir kvöldmat.</w:t>
      </w:r>
    </w:p>
    <w:p w:rsidR="0056613E" w:rsidRPr="004C0D66" w:rsidRDefault="0056613E" w:rsidP="00033B10">
      <w:pPr>
        <w:jc w:val="both"/>
      </w:pPr>
      <w:r w:rsidRPr="004C0D66">
        <w:t>Páskaferð Traðar var ganga á Helgafellið</w:t>
      </w:r>
      <w:r w:rsidR="00925F0C" w:rsidRPr="004C0D66">
        <w:t xml:space="preserve"> og sundferð í Bláa Lónið. Var lagt af stað snemma á laugardagsmorgni, byrjað á góðri göngu þar sem </w:t>
      </w:r>
      <w:r w:rsidR="00083B06" w:rsidRPr="004C0D66">
        <w:t>sumir reyndu vel á sig</w:t>
      </w:r>
      <w:r w:rsidR="00925F0C" w:rsidRPr="004C0D66">
        <w:t>. Eftir gönguna og nestisstund í náttúrunni var farið í Lónið og slakað á eftir krefjandi gönguna. Komið var aftur í bæinn seinnipartinn, allir sáttir og sælir.</w:t>
      </w:r>
    </w:p>
    <w:p w:rsidR="00453300" w:rsidRPr="004C0D66" w:rsidRDefault="00925F0C" w:rsidP="00033B10">
      <w:pPr>
        <w:jc w:val="both"/>
      </w:pPr>
      <w:r w:rsidRPr="004C0D66">
        <w:t>Lokaferðir Stígs og Traðar vorið 2012 voru farnar um miðjan júní og voru með sama sniðinu. Stígur fór 11-13. júní og Tröð fór 18-20. júní. Í báðum ferðum var farið í flúðasiglingu og gist tvær nætur í skála Útivistar í Hólaskógi. Þar var farið í g</w:t>
      </w:r>
      <w:r w:rsidR="009C73B0" w:rsidRPr="004C0D66">
        <w:t xml:space="preserve">óðar göngur, haldnar kvöldvökur og notið samverunnar. Ferðirnar voru að mestu fjármagnaðar með fjáröflun unglinganna, dósasöfnun í smiðjunum og styrkveitingu frá Góða hirðinum. </w:t>
      </w:r>
    </w:p>
    <w:p w:rsidR="001B6DA4" w:rsidRPr="004C0D66" w:rsidRDefault="001B6DA4" w:rsidP="00033B10">
      <w:pPr>
        <w:spacing w:after="0"/>
        <w:jc w:val="both"/>
        <w:rPr>
          <w:rFonts w:eastAsia="Times New Roman" w:cs="Times New Roman"/>
        </w:rPr>
      </w:pPr>
      <w:bookmarkStart w:id="4" w:name="_Toc371061024"/>
      <w:r w:rsidRPr="004C0D66">
        <w:rPr>
          <w:rStyle w:val="Fyrirsgn2Staf"/>
        </w:rPr>
        <w:lastRenderedPageBreak/>
        <w:t>Foreldrasamstarf:</w:t>
      </w:r>
      <w:bookmarkEnd w:id="4"/>
      <w:r w:rsidRPr="004C0D66">
        <w:rPr>
          <w:rFonts w:eastAsia="Times New Roman" w:cs="Times New Roman"/>
        </w:rPr>
        <w:t xml:space="preserve"> Foreldrum var boðið til fundar eftir þörfum. Boðið var upp á viðtal fyrir alla foreldra í upphafi dvalar, mánuði síðar og síðan tvisvar til viðbótar yfir veturinn. F</w:t>
      </w:r>
      <w:r w:rsidR="004C0D66" w:rsidRPr="004C0D66">
        <w:rPr>
          <w:rFonts w:eastAsia="Times New Roman" w:cs="Times New Roman"/>
        </w:rPr>
        <w:t>l</w:t>
      </w:r>
      <w:r w:rsidRPr="004C0D66">
        <w:rPr>
          <w:rFonts w:eastAsia="Times New Roman" w:cs="Times New Roman"/>
        </w:rPr>
        <w:t>estir foreldranna nýttu sér þetta og komu í fjögur viðtöl eða fleiri. Einnig sat forstöðumaður fagteymisfundi ef þess var óskað og vann þá í samvinnu við aðra aðila sem komu að málum unglingsins s.s. skóla, starfsfólki þjónustumiðstöðvar og BUGL. Í báðum smiðjunum voru tveir foreldrafundir þar sem var rætt fjáröflun og tilhögun lokaferðar.</w:t>
      </w:r>
    </w:p>
    <w:p w:rsidR="001B6DA4" w:rsidRPr="004C0D66" w:rsidRDefault="001B6DA4" w:rsidP="001B6DA4">
      <w:pPr>
        <w:spacing w:after="0"/>
        <w:rPr>
          <w:rFonts w:eastAsia="Times New Roman" w:cs="Times New Roman"/>
        </w:rPr>
      </w:pPr>
    </w:p>
    <w:p w:rsidR="00453300" w:rsidRPr="004C0D66" w:rsidRDefault="00453300">
      <w:bookmarkStart w:id="5" w:name="_Toc371061025"/>
      <w:r w:rsidRPr="004C0D66">
        <w:rPr>
          <w:rStyle w:val="Fyrirsgn2Staf"/>
        </w:rPr>
        <w:t>Fagteymi</w:t>
      </w:r>
      <w:r w:rsidR="00033B10" w:rsidRPr="004C0D66">
        <w:rPr>
          <w:rStyle w:val="Fyrirsgn2Staf"/>
        </w:rPr>
        <w:t>:</w:t>
      </w:r>
      <w:bookmarkEnd w:id="5"/>
      <w:r w:rsidR="00033B10" w:rsidRPr="004C0D66">
        <w:t xml:space="preserve"> Fagteymi var starfrækt þar sem forstöðumaður hitti tvo fulltrúa frá þjónustumiðstöð Breiðholts þar sem fór fram þverfagleg umræða um starfið.</w:t>
      </w:r>
    </w:p>
    <w:p w:rsidR="003E36BB" w:rsidRPr="004C0D66" w:rsidRDefault="00453300" w:rsidP="00033B10">
      <w:pPr>
        <w:jc w:val="both"/>
        <w:rPr>
          <w:rFonts w:eastAsia="Times New Roman" w:cs="Times New Roman"/>
        </w:rPr>
      </w:pPr>
      <w:bookmarkStart w:id="6" w:name="_Toc371061026"/>
      <w:r w:rsidRPr="004C0D66">
        <w:rPr>
          <w:rStyle w:val="Fyrirsgn2Staf"/>
        </w:rPr>
        <w:t>Unglingabrúin</w:t>
      </w:r>
      <w:r w:rsidR="00033B10" w:rsidRPr="004C0D66">
        <w:rPr>
          <w:rStyle w:val="Fyrirsgn2Staf"/>
        </w:rPr>
        <w:t>:</w:t>
      </w:r>
      <w:bookmarkEnd w:id="6"/>
      <w:r w:rsidR="00033B10" w:rsidRPr="004C0D66">
        <w:t xml:space="preserve"> </w:t>
      </w:r>
      <w:r w:rsidR="00033B10" w:rsidRPr="004C0D66">
        <w:rPr>
          <w:rFonts w:eastAsia="Times New Roman" w:cs="Times New Roman"/>
        </w:rPr>
        <w:t>Lý</w:t>
      </w:r>
      <w:r w:rsidR="00083B06" w:rsidRPr="004C0D66">
        <w:rPr>
          <w:rFonts w:eastAsia="Times New Roman" w:cs="Times New Roman"/>
        </w:rPr>
        <w:t>ð</w:t>
      </w:r>
      <w:r w:rsidR="00033B10" w:rsidRPr="004C0D66">
        <w:rPr>
          <w:rFonts w:eastAsia="Times New Roman" w:cs="Times New Roman"/>
        </w:rPr>
        <w:t xml:space="preserve">heilsustöð styrkti nýtt verkefni fyrir félagslega </w:t>
      </w:r>
      <w:r w:rsidR="00083B06" w:rsidRPr="004C0D66">
        <w:rPr>
          <w:rFonts w:eastAsia="Times New Roman" w:cs="Times New Roman"/>
        </w:rPr>
        <w:t>einangraða</w:t>
      </w:r>
      <w:r w:rsidR="00033B10" w:rsidRPr="004C0D66">
        <w:rPr>
          <w:rFonts w:eastAsia="Times New Roman" w:cs="Times New Roman"/>
        </w:rPr>
        <w:t xml:space="preserve"> unglinga í Breiðholti. Unglingabrúin er samstarfsverkefni á milli Unglingasmiðjunar Tröð, Frístundamiðstöðvarinnar Miðbergs og Fjölbrautarskólans í Breiðholti. Sex unglingar mættu reglulega einu sinni í viku í hópstarfið sem fór fram í húsnæði unglingasmiðjunnar Traðar og einnig var nýtt sér að fara í opið hús upp í Miðbergi og fara í menningarferðir niður í miðbæ Reykjavíkur. Starfið fékk</w:t>
      </w:r>
      <w:r w:rsidR="003E36BB" w:rsidRPr="004C0D66">
        <w:t xml:space="preserve"> góðan endi vorið 2012 og var almenn ánægja starfsmanna og ungmenna með það hvernig til tókst um veturinn. Einnig sýndu flestir því áhuga að halda áfram næsta vetur.</w:t>
      </w:r>
    </w:p>
    <w:p w:rsidR="001B6DA4" w:rsidRPr="004C0D66" w:rsidRDefault="001B6DA4" w:rsidP="00257DC2">
      <w:pPr>
        <w:pStyle w:val="Fyrirsgn1"/>
      </w:pPr>
      <w:bookmarkStart w:id="7" w:name="_Toc371061027"/>
      <w:r w:rsidRPr="004C0D66">
        <w:t>Þjónustukönnun V</w:t>
      </w:r>
      <w:r w:rsidR="00FF61CC" w:rsidRPr="004C0D66">
        <w:t>eturinn 201</w:t>
      </w:r>
      <w:r w:rsidR="00257DC2" w:rsidRPr="004C0D66">
        <w:t>1</w:t>
      </w:r>
      <w:r w:rsidR="00FF61CC" w:rsidRPr="004C0D66">
        <w:t>-20</w:t>
      </w:r>
      <w:r w:rsidR="00257DC2" w:rsidRPr="004C0D66">
        <w:t>12</w:t>
      </w:r>
      <w:bookmarkEnd w:id="7"/>
    </w:p>
    <w:p w:rsidR="001B6DA4" w:rsidRPr="004C0D66" w:rsidRDefault="00257DC2" w:rsidP="00CC40F7">
      <w:pPr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>Sumarið 2012</w:t>
      </w:r>
      <w:r w:rsidR="001B6DA4" w:rsidRPr="004C0D66">
        <w:rPr>
          <w:rFonts w:eastAsia="Times New Roman" w:cs="Times New Roman"/>
        </w:rPr>
        <w:t xml:space="preserve"> var gerð þjónustukönnun í Unglingasmiðjunum. Könnu</w:t>
      </w:r>
      <w:r w:rsidRPr="004C0D66">
        <w:rPr>
          <w:rFonts w:eastAsia="Times New Roman" w:cs="Times New Roman"/>
        </w:rPr>
        <w:t>nin var send í tölvupósti til 35</w:t>
      </w:r>
      <w:r w:rsidR="001B6DA4" w:rsidRPr="004C0D66">
        <w:rPr>
          <w:rFonts w:eastAsia="Times New Roman" w:cs="Times New Roman"/>
        </w:rPr>
        <w:t xml:space="preserve"> foreldra þeirra unglinga sem tóku þátt í s</w:t>
      </w:r>
      <w:r w:rsidRPr="004C0D66">
        <w:rPr>
          <w:rFonts w:eastAsia="Times New Roman" w:cs="Times New Roman"/>
        </w:rPr>
        <w:t>tarfsemi smiðjanna veturinn 2011-2012. 14 foreldrar svöruðu eða 40%</w:t>
      </w:r>
      <w:r w:rsidR="001B6DA4" w:rsidRPr="004C0D66">
        <w:rPr>
          <w:rFonts w:eastAsia="Times New Roman" w:cs="Times New Roman"/>
        </w:rPr>
        <w:t xml:space="preserve">. Könnunin var unnin í </w:t>
      </w:r>
      <w:proofErr w:type="spellStart"/>
      <w:r w:rsidR="001B6DA4" w:rsidRPr="004C0D66">
        <w:rPr>
          <w:rFonts w:eastAsia="Times New Roman" w:cs="Times New Roman"/>
        </w:rPr>
        <w:t>Out-come</w:t>
      </w:r>
      <w:proofErr w:type="spellEnd"/>
      <w:r w:rsidR="001B6DA4" w:rsidRPr="004C0D66">
        <w:rPr>
          <w:rFonts w:eastAsia="Times New Roman" w:cs="Times New Roman"/>
        </w:rPr>
        <w:t xml:space="preserve"> forritin</w:t>
      </w:r>
      <w:r w:rsidRPr="004C0D66">
        <w:rPr>
          <w:rFonts w:eastAsia="Times New Roman" w:cs="Times New Roman"/>
        </w:rPr>
        <w:t>u og innihélt 26</w:t>
      </w:r>
      <w:r w:rsidR="001B6DA4" w:rsidRPr="004C0D66">
        <w:rPr>
          <w:rFonts w:eastAsia="Times New Roman" w:cs="Times New Roman"/>
        </w:rPr>
        <w:t xml:space="preserve"> spurningar. Megintilgangur þjónustukönnunarinnar var að kanna viðhorf foreldra til starfsemi unglingasmiðjanna, bæði til einstaka þáttar hennar til starfseminnar í heild. </w:t>
      </w:r>
    </w:p>
    <w:p w:rsidR="001B6DA4" w:rsidRPr="004C0D66" w:rsidRDefault="001B6DA4" w:rsidP="00A778EE">
      <w:pPr>
        <w:numPr>
          <w:ilvl w:val="0"/>
          <w:numId w:val="3"/>
        </w:numPr>
        <w:contextualSpacing/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>Helstu niðu</w:t>
      </w:r>
      <w:r w:rsidR="00257DC2" w:rsidRPr="004C0D66">
        <w:rPr>
          <w:rFonts w:eastAsia="Times New Roman" w:cs="Times New Roman"/>
        </w:rPr>
        <w:t xml:space="preserve">rstöður könnunnar voru þær að allir </w:t>
      </w:r>
      <w:r w:rsidRPr="004C0D66">
        <w:rPr>
          <w:rFonts w:eastAsia="Times New Roman" w:cs="Times New Roman"/>
        </w:rPr>
        <w:t>foreldra</w:t>
      </w:r>
      <w:r w:rsidR="00257DC2" w:rsidRPr="004C0D66">
        <w:rPr>
          <w:rFonts w:eastAsia="Times New Roman" w:cs="Times New Roman"/>
        </w:rPr>
        <w:t>r</w:t>
      </w:r>
      <w:r w:rsidRPr="004C0D66">
        <w:rPr>
          <w:rFonts w:eastAsia="Times New Roman" w:cs="Times New Roman"/>
        </w:rPr>
        <w:t xml:space="preserve"> töldu útivist, afþreyingu,</w:t>
      </w:r>
      <w:r w:rsidR="00257DC2" w:rsidRPr="004C0D66">
        <w:rPr>
          <w:rFonts w:eastAsia="Times New Roman" w:cs="Times New Roman"/>
        </w:rPr>
        <w:t xml:space="preserve"> hópfundi með unglingunum,</w:t>
      </w:r>
      <w:r w:rsidR="00CF7750" w:rsidRPr="004C0D66">
        <w:rPr>
          <w:rFonts w:eastAsia="Times New Roman" w:cs="Times New Roman"/>
        </w:rPr>
        <w:t xml:space="preserve"> einstaklingssamtöl, </w:t>
      </w:r>
      <w:r w:rsidRPr="004C0D66">
        <w:rPr>
          <w:rFonts w:eastAsia="Times New Roman" w:cs="Times New Roman"/>
        </w:rPr>
        <w:t xml:space="preserve">foreldraviðtöl </w:t>
      </w:r>
      <w:r w:rsidR="00CF7750" w:rsidRPr="004C0D66">
        <w:rPr>
          <w:rFonts w:eastAsia="Times New Roman" w:cs="Times New Roman"/>
        </w:rPr>
        <w:t xml:space="preserve">og lokaferð </w:t>
      </w:r>
      <w:r w:rsidRPr="004C0D66">
        <w:rPr>
          <w:rFonts w:eastAsia="Times New Roman" w:cs="Times New Roman"/>
        </w:rPr>
        <w:t>vera mi</w:t>
      </w:r>
      <w:r w:rsidR="00CF7750" w:rsidRPr="004C0D66">
        <w:rPr>
          <w:rFonts w:eastAsia="Times New Roman" w:cs="Times New Roman"/>
        </w:rPr>
        <w:t>kilvæga þætti í starfseminni. 93</w:t>
      </w:r>
      <w:r w:rsidRPr="004C0D66">
        <w:rPr>
          <w:rFonts w:eastAsia="Times New Roman" w:cs="Times New Roman"/>
        </w:rPr>
        <w:t>% foreldra töldu listræ</w:t>
      </w:r>
      <w:r w:rsidR="00CF7750" w:rsidRPr="004C0D66">
        <w:rPr>
          <w:rFonts w:eastAsia="Times New Roman" w:cs="Times New Roman"/>
        </w:rPr>
        <w:t xml:space="preserve">na þjálfun mikilvægan þátt í starfseminni og 79% töldu </w:t>
      </w:r>
      <w:r w:rsidRPr="004C0D66">
        <w:rPr>
          <w:rFonts w:eastAsia="Times New Roman" w:cs="Times New Roman"/>
        </w:rPr>
        <w:t>fo</w:t>
      </w:r>
      <w:r w:rsidR="00CF7750" w:rsidRPr="004C0D66">
        <w:rPr>
          <w:rFonts w:eastAsia="Times New Roman" w:cs="Times New Roman"/>
        </w:rPr>
        <w:t>reldrakvöld vera mikilvæga</w:t>
      </w:r>
      <w:r w:rsidR="004C0D66" w:rsidRPr="004C0D66">
        <w:rPr>
          <w:rFonts w:eastAsia="Times New Roman" w:cs="Times New Roman"/>
        </w:rPr>
        <w:t>n</w:t>
      </w:r>
      <w:r w:rsidR="00CF7750" w:rsidRPr="004C0D66">
        <w:rPr>
          <w:rFonts w:eastAsia="Times New Roman" w:cs="Times New Roman"/>
        </w:rPr>
        <w:t xml:space="preserve"> þátt</w:t>
      </w:r>
      <w:r w:rsidRPr="004C0D66">
        <w:rPr>
          <w:rFonts w:eastAsia="Times New Roman" w:cs="Times New Roman"/>
        </w:rPr>
        <w:t xml:space="preserve"> í starfseminni.</w:t>
      </w:r>
    </w:p>
    <w:p w:rsidR="001B6DA4" w:rsidRPr="004C0D66" w:rsidRDefault="00A778EE" w:rsidP="00A778EE">
      <w:pPr>
        <w:numPr>
          <w:ilvl w:val="0"/>
          <w:numId w:val="3"/>
        </w:numPr>
        <w:contextualSpacing/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 xml:space="preserve">Allir foreldrar mátu úrræðið frekar eða mjög gagnlegt. </w:t>
      </w:r>
      <w:r w:rsidR="001B6DA4" w:rsidRPr="004C0D66">
        <w:rPr>
          <w:rFonts w:eastAsia="Times New Roman" w:cs="Times New Roman"/>
        </w:rPr>
        <w:t>93% foreldranna fannst samskipti við starfs</w:t>
      </w:r>
      <w:r w:rsidR="002F673B" w:rsidRPr="004C0D66">
        <w:rPr>
          <w:rFonts w:eastAsia="Times New Roman" w:cs="Times New Roman"/>
        </w:rPr>
        <w:t xml:space="preserve">fólk verða góð eða mjög góð, 43%  foreldrar </w:t>
      </w:r>
      <w:r w:rsidR="001B6DA4" w:rsidRPr="004C0D66">
        <w:rPr>
          <w:rFonts w:eastAsia="Times New Roman" w:cs="Times New Roman"/>
        </w:rPr>
        <w:t>hafa jákvæðara viðhorf til unglingasmiðjanna eftir að unglingurinn byrjaði og</w:t>
      </w:r>
      <w:r w:rsidR="002F673B" w:rsidRPr="004C0D66">
        <w:rPr>
          <w:rFonts w:eastAsia="Times New Roman" w:cs="Times New Roman"/>
        </w:rPr>
        <w:t xml:space="preserve"> enginn hafði neikvæðara viðhorf.</w:t>
      </w:r>
      <w:r w:rsidRPr="004C0D66">
        <w:rPr>
          <w:rFonts w:eastAsia="Times New Roman" w:cs="Times New Roman"/>
        </w:rPr>
        <w:t xml:space="preserve"> </w:t>
      </w:r>
    </w:p>
    <w:p w:rsidR="001B6DA4" w:rsidRPr="004C0D66" w:rsidRDefault="00A778EE" w:rsidP="00A778EE">
      <w:pPr>
        <w:numPr>
          <w:ilvl w:val="0"/>
          <w:numId w:val="3"/>
        </w:numPr>
        <w:contextualSpacing/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>86</w:t>
      </w:r>
      <w:r w:rsidR="001B6DA4" w:rsidRPr="004C0D66">
        <w:rPr>
          <w:rFonts w:eastAsia="Times New Roman" w:cs="Times New Roman"/>
        </w:rPr>
        <w:t>% foreldra töldu að hegðun og líðan unglingsins hafi batnað nokkuð eða mikið á tímabilin</w:t>
      </w:r>
      <w:r w:rsidRPr="004C0D66">
        <w:rPr>
          <w:rFonts w:eastAsia="Times New Roman" w:cs="Times New Roman"/>
        </w:rPr>
        <w:t>u. Helmingur foreldra</w:t>
      </w:r>
      <w:r w:rsidR="001B6DA4" w:rsidRPr="004C0D66">
        <w:rPr>
          <w:rFonts w:eastAsia="Times New Roman" w:cs="Times New Roman"/>
        </w:rPr>
        <w:t xml:space="preserve"> töldu að samskipti unglingsins við fjölskylduna hafi batna</w:t>
      </w:r>
      <w:r w:rsidRPr="004C0D66">
        <w:rPr>
          <w:rFonts w:eastAsia="Times New Roman" w:cs="Times New Roman"/>
        </w:rPr>
        <w:t>ð nokkuð eða mikið á tímabilinu, 43 % töldu það vera óbreytt og einn taldi að samskiptin hefðu versnað.</w:t>
      </w:r>
    </w:p>
    <w:p w:rsidR="001B6DA4" w:rsidRPr="004C0D66" w:rsidRDefault="001B6DA4" w:rsidP="00A778EE">
      <w:pPr>
        <w:numPr>
          <w:ilvl w:val="0"/>
          <w:numId w:val="3"/>
        </w:numPr>
        <w:contextualSpacing/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>Þegar spurt var um hvort félagsleg staða í skóla hafi br</w:t>
      </w:r>
      <w:r w:rsidR="00A778EE" w:rsidRPr="004C0D66">
        <w:rPr>
          <w:rFonts w:eastAsia="Times New Roman" w:cs="Times New Roman"/>
        </w:rPr>
        <w:t>eyst að mati foreldranna voru 39</w:t>
      </w:r>
      <w:r w:rsidRPr="004C0D66">
        <w:rPr>
          <w:rFonts w:eastAsia="Times New Roman" w:cs="Times New Roman"/>
        </w:rPr>
        <w:t>% sem töldu að hún ha</w:t>
      </w:r>
      <w:r w:rsidR="00A778EE" w:rsidRPr="004C0D66">
        <w:rPr>
          <w:rFonts w:eastAsia="Times New Roman" w:cs="Times New Roman"/>
        </w:rPr>
        <w:t>fi batnað nokkuð eða mikið en 46</w:t>
      </w:r>
      <w:r w:rsidRPr="004C0D66">
        <w:rPr>
          <w:rFonts w:eastAsia="Times New Roman" w:cs="Times New Roman"/>
        </w:rPr>
        <w:t>% að hún hafi lítið breyst.</w:t>
      </w:r>
      <w:r w:rsidR="004C0D66" w:rsidRPr="004C0D66">
        <w:rPr>
          <w:rFonts w:eastAsia="Times New Roman" w:cs="Times New Roman"/>
        </w:rPr>
        <w:t xml:space="preserve"> 15% foreldra t</w:t>
      </w:r>
      <w:r w:rsidR="00A778EE" w:rsidRPr="004C0D66">
        <w:rPr>
          <w:rFonts w:eastAsia="Times New Roman" w:cs="Times New Roman"/>
        </w:rPr>
        <w:t xml:space="preserve">öldu að félagslega staða unglingsins hefði versnað í skólanum. </w:t>
      </w:r>
      <w:r w:rsidRPr="004C0D66">
        <w:rPr>
          <w:rFonts w:eastAsia="Times New Roman" w:cs="Times New Roman"/>
        </w:rPr>
        <w:t>Einnig var spurt hvort að hegðun unglingsins hafi breyst í sk</w:t>
      </w:r>
      <w:r w:rsidR="00A778EE" w:rsidRPr="004C0D66">
        <w:rPr>
          <w:rFonts w:eastAsia="Times New Roman" w:cs="Times New Roman"/>
        </w:rPr>
        <w:t>ólanum á tímabilinu og var þar 4</w:t>
      </w:r>
      <w:r w:rsidRPr="004C0D66">
        <w:rPr>
          <w:rFonts w:eastAsia="Times New Roman" w:cs="Times New Roman"/>
        </w:rPr>
        <w:t>3% sem svöruðu að hegðunin ha</w:t>
      </w:r>
      <w:r w:rsidR="00A778EE" w:rsidRPr="004C0D66">
        <w:rPr>
          <w:rFonts w:eastAsia="Times New Roman" w:cs="Times New Roman"/>
        </w:rPr>
        <w:t>fi batnað nokkuð eða mikið en 50 að hún væri óbreytt.</w:t>
      </w:r>
    </w:p>
    <w:p w:rsidR="00E477A7" w:rsidRPr="004C0D66" w:rsidRDefault="00E477A7" w:rsidP="00A778EE">
      <w:pPr>
        <w:ind w:left="720"/>
        <w:contextualSpacing/>
        <w:jc w:val="both"/>
        <w:rPr>
          <w:rFonts w:eastAsia="Times New Roman" w:cs="Times New Roman"/>
        </w:rPr>
      </w:pPr>
    </w:p>
    <w:p w:rsidR="00E477A7" w:rsidRPr="004C0D66" w:rsidRDefault="001B6DA4" w:rsidP="00A778EE">
      <w:pPr>
        <w:jc w:val="both"/>
        <w:rPr>
          <w:rFonts w:eastAsia="Times New Roman" w:cs="Times New Roman"/>
        </w:rPr>
      </w:pPr>
      <w:r w:rsidRPr="004C0D66">
        <w:rPr>
          <w:rFonts w:eastAsia="Times New Roman" w:cs="Times New Roman"/>
        </w:rPr>
        <w:t>Þegar farið er yfir þessar niðurstöður er ljóst að flestir eru ánægðir með það starfið og telja að það skili árangri.</w:t>
      </w:r>
      <w:r w:rsidR="00A778EE" w:rsidRPr="004C0D66">
        <w:rPr>
          <w:rFonts w:eastAsia="Times New Roman" w:cs="Times New Roman"/>
        </w:rPr>
        <w:t xml:space="preserve"> Áhugavert er að sjá hversu margir foreldrar telja að hegðun og líðan unglings hafi batnað nokkuð eða mikið á tímabilinu og að allir foreldrar mátu úrræðið frekar eða mjög gagnlegt</w:t>
      </w:r>
      <w:r w:rsidRPr="004C0D66">
        <w:rPr>
          <w:rFonts w:eastAsia="Times New Roman" w:cs="Times New Roman"/>
        </w:rPr>
        <w:t xml:space="preserve">. </w:t>
      </w:r>
    </w:p>
    <w:p w:rsidR="001B5F11" w:rsidRPr="004C0D66" w:rsidRDefault="001B5F11" w:rsidP="001B5F11">
      <w:pPr>
        <w:pStyle w:val="Fyrirsgn1"/>
      </w:pPr>
      <w:bookmarkStart w:id="8" w:name="_Toc370476255"/>
      <w:bookmarkStart w:id="9" w:name="_Toc371000894"/>
      <w:bookmarkStart w:id="10" w:name="_Toc371061028"/>
      <w:r w:rsidRPr="004C0D66">
        <w:lastRenderedPageBreak/>
        <w:t xml:space="preserve">Umsóknarfjöldi og nýjar </w:t>
      </w:r>
      <w:proofErr w:type="spellStart"/>
      <w:r w:rsidRPr="004C0D66">
        <w:t>vistanir</w:t>
      </w:r>
      <w:bookmarkEnd w:id="8"/>
      <w:bookmarkEnd w:id="9"/>
      <w:bookmarkEnd w:id="10"/>
      <w:proofErr w:type="spellEnd"/>
    </w:p>
    <w:p w:rsidR="001B5F11" w:rsidRDefault="001B5F11" w:rsidP="001B5F11">
      <w:pPr>
        <w:jc w:val="both"/>
      </w:pPr>
      <w:r>
        <w:t>Alls 8</w:t>
      </w:r>
      <w:r w:rsidRPr="004C0D66">
        <w:t xml:space="preserve"> unglingar hél</w:t>
      </w:r>
      <w:r>
        <w:t>du áfram á sitt annað ár í smiðjunum haustið 2011</w:t>
      </w:r>
      <w:r w:rsidR="00E6592B">
        <w:t>. Af þeim héldu</w:t>
      </w:r>
      <w:r>
        <w:t xml:space="preserve"> 3</w:t>
      </w:r>
      <w:r w:rsidRPr="004C0D66">
        <w:t xml:space="preserve"> unglingar áfra</w:t>
      </w:r>
      <w:r>
        <w:t>m í Tröð</w:t>
      </w:r>
      <w:r w:rsidR="00E6592B">
        <w:t>, 2 drengir og 1 stúlka. Á Stíg héldu 5 unglingar áfram, 2 drengir og 3 stúlkur</w:t>
      </w:r>
      <w:r w:rsidRPr="004C0D66">
        <w:t>. Um haustið</w:t>
      </w:r>
      <w:r w:rsidR="00E6592B">
        <w:t xml:space="preserve"> 2011 byrjuðu því </w:t>
      </w:r>
      <w:r w:rsidR="00DA33C8">
        <w:t>21</w:t>
      </w:r>
      <w:r w:rsidR="00E6592B">
        <w:t xml:space="preserve"> </w:t>
      </w:r>
      <w:r w:rsidR="00DA33C8">
        <w:t>unglingur</w:t>
      </w:r>
      <w:r w:rsidR="00E6592B">
        <w:t xml:space="preserve"> en 8</w:t>
      </w:r>
      <w:r w:rsidRPr="004C0D66">
        <w:t xml:space="preserve"> h</w:t>
      </w:r>
      <w:r w:rsidR="00E6592B">
        <w:t>éldu áfram frá því veturinn áður</w:t>
      </w:r>
      <w:r w:rsidRPr="004C0D66">
        <w:t>.</w:t>
      </w:r>
    </w:p>
    <w:p w:rsidR="00FF61CC" w:rsidRPr="004C0D66" w:rsidRDefault="009B5789" w:rsidP="00FF61CC">
      <w:pPr>
        <w:pStyle w:val="Fyrirsgn1"/>
      </w:pPr>
      <w:bookmarkStart w:id="11" w:name="_Toc371061029"/>
      <w:r w:rsidRPr="004C0D66">
        <w:t>Tölulegar upplýsingar</w:t>
      </w:r>
      <w:r w:rsidR="00FF61CC" w:rsidRPr="004C0D66">
        <w:t xml:space="preserve"> veturinn</w:t>
      </w:r>
      <w:bookmarkEnd w:id="11"/>
    </w:p>
    <w:p w:rsidR="00B40337" w:rsidRPr="004C0D66" w:rsidRDefault="00B40337" w:rsidP="00330961">
      <w:pPr>
        <w:jc w:val="both"/>
        <w:rPr>
          <w:color w:val="002060"/>
        </w:rPr>
      </w:pPr>
      <w:r w:rsidRPr="004C0D66">
        <w:t xml:space="preserve">Veturinn 2011-2012 bárust alls 40 umsóknir til unglingasmiðjanna. Af þeim hófu 32 unglingar </w:t>
      </w:r>
      <w:r w:rsidR="005633C9" w:rsidRPr="004C0D66">
        <w:t>þátttöku á þeim vetri.</w:t>
      </w:r>
      <w:r w:rsidR="005633C9" w:rsidRPr="004C0D66">
        <w:rPr>
          <w:color w:val="002060"/>
        </w:rPr>
        <w:t xml:space="preserve"> </w:t>
      </w:r>
    </w:p>
    <w:p w:rsidR="00726B27" w:rsidRPr="004C0D66" w:rsidRDefault="00726B27" w:rsidP="00330961">
      <w:pPr>
        <w:jc w:val="both"/>
      </w:pPr>
    </w:p>
    <w:p w:rsidR="00FF61CC" w:rsidRPr="004C0D66" w:rsidRDefault="00FF61CC" w:rsidP="00FF61CC">
      <w:pPr>
        <w:pStyle w:val="Fyrirsgn2"/>
        <w:rPr>
          <w:color w:val="002060"/>
        </w:rPr>
      </w:pPr>
      <w:bookmarkStart w:id="12" w:name="_Toc371061030"/>
      <w:r w:rsidRPr="004C0D66">
        <w:t>Nýjar vistanir</w:t>
      </w:r>
      <w:bookmarkEnd w:id="12"/>
      <w:r w:rsidRPr="004C0D66">
        <w:t xml:space="preserve"> </w:t>
      </w:r>
    </w:p>
    <w:p w:rsidR="000253F8" w:rsidRPr="004C0D66" w:rsidRDefault="00D000A0" w:rsidP="00330961">
      <w:pPr>
        <w:rPr>
          <w:color w:val="00B050"/>
        </w:rPr>
      </w:pPr>
      <w:r w:rsidRPr="004C0D66">
        <w:t>Þegar skoðað er kyn unglinganna  kom í ljós að það voru jafn margar stelpur og st</w:t>
      </w:r>
      <w:r w:rsidR="00083B06" w:rsidRPr="004C0D66">
        <w:t>r</w:t>
      </w:r>
      <w:r w:rsidRPr="004C0D66">
        <w:t xml:space="preserve">ákar sem hófu dvöl veturinn 2011-2012. </w:t>
      </w:r>
      <w:r w:rsidR="000253F8" w:rsidRPr="004C0D66">
        <w:t xml:space="preserve">Alls hófu 16 unglingar </w:t>
      </w:r>
      <w:r w:rsidR="00083B06" w:rsidRPr="004C0D66">
        <w:t>þátttöku</w:t>
      </w:r>
      <w:r w:rsidR="00BC64EE" w:rsidRPr="004C0D66">
        <w:t xml:space="preserve"> á Stíg, 8 stúlkur (50%) og 8 drengir (50</w:t>
      </w:r>
      <w:r w:rsidR="000253F8" w:rsidRPr="004C0D66">
        <w:t>%), sjá mynd I.</w:t>
      </w:r>
    </w:p>
    <w:p w:rsidR="00152470" w:rsidRPr="004C0D66" w:rsidRDefault="00152470" w:rsidP="00CC40F7">
      <w:pPr>
        <w:jc w:val="both"/>
        <w:rPr>
          <w:color w:val="00B050"/>
        </w:rPr>
      </w:pPr>
    </w:p>
    <w:p w:rsidR="000253F8" w:rsidRPr="004C0D66" w:rsidRDefault="00873D40" w:rsidP="000253F8">
      <w:pPr>
        <w:jc w:val="center"/>
      </w:pPr>
      <w:r w:rsidRPr="004C0D66">
        <w:rPr>
          <w:noProof/>
          <w:lang w:eastAsia="is-IS"/>
        </w:rPr>
        <w:drawing>
          <wp:inline distT="0" distB="0" distL="0" distR="0" wp14:anchorId="0D57F17A" wp14:editId="01D784E7">
            <wp:extent cx="4581525" cy="2776538"/>
            <wp:effectExtent l="19050" t="0" r="9525" b="4762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89B" w:rsidRPr="004C0D66" w:rsidRDefault="00ED6A30" w:rsidP="00ED6A30">
      <w:pPr>
        <w:spacing w:after="0" w:line="240" w:lineRule="auto"/>
        <w:rPr>
          <w:b/>
        </w:rPr>
      </w:pP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rPr>
          <w:b/>
        </w:rPr>
        <w:t>Mynd I</w:t>
      </w:r>
    </w:p>
    <w:p w:rsidR="00131A43" w:rsidRPr="004C0D66" w:rsidRDefault="00131A43" w:rsidP="00A778EE"/>
    <w:p w:rsidR="00131A43" w:rsidRPr="004C0D66" w:rsidRDefault="00131A43" w:rsidP="00A778EE"/>
    <w:p w:rsidR="00131A43" w:rsidRPr="004C0D66" w:rsidRDefault="00131A43" w:rsidP="00A778EE"/>
    <w:p w:rsidR="00131A43" w:rsidRPr="004C0D66" w:rsidRDefault="00131A43" w:rsidP="00A778EE"/>
    <w:p w:rsidR="00131A43" w:rsidRDefault="00131A43" w:rsidP="00A778EE"/>
    <w:p w:rsidR="00B265A5" w:rsidRDefault="00B265A5" w:rsidP="00A778EE"/>
    <w:p w:rsidR="00B265A5" w:rsidRPr="004C0D66" w:rsidRDefault="00B265A5" w:rsidP="00A778EE"/>
    <w:p w:rsidR="00131A43" w:rsidRPr="004C0D66" w:rsidRDefault="00131A43" w:rsidP="00A778EE"/>
    <w:p w:rsidR="00B0405D" w:rsidRPr="004C0D66" w:rsidRDefault="0044289B" w:rsidP="00B0405D">
      <w:pPr>
        <w:ind w:left="66"/>
        <w:rPr>
          <w:color w:val="00B050"/>
        </w:rPr>
      </w:pPr>
      <w:r w:rsidRPr="004C0D66">
        <w:t>Alls hófu 16</w:t>
      </w:r>
      <w:r w:rsidR="000253F8" w:rsidRPr="004C0D66">
        <w:t xml:space="preserve"> unglingar </w:t>
      </w:r>
      <w:r w:rsidRPr="004C0D66">
        <w:t>þátttöku</w:t>
      </w:r>
      <w:r w:rsidR="000253F8" w:rsidRPr="004C0D66">
        <w:t xml:space="preserve"> í Tröð, 6 stúlkur (</w:t>
      </w:r>
      <w:r w:rsidRPr="004C0D66">
        <w:t>38%) og 10</w:t>
      </w:r>
      <w:r w:rsidR="000253F8" w:rsidRPr="004C0D66">
        <w:t xml:space="preserve"> drengir (</w:t>
      </w:r>
      <w:r w:rsidRPr="004C0D66">
        <w:t>62%</w:t>
      </w:r>
      <w:r w:rsidR="000253F8" w:rsidRPr="004C0D66">
        <w:t xml:space="preserve">), sjá mynd </w:t>
      </w:r>
      <w:proofErr w:type="spellStart"/>
      <w:r w:rsidR="000253F8" w:rsidRPr="004C0D66">
        <w:t>ll</w:t>
      </w:r>
      <w:proofErr w:type="spellEnd"/>
      <w:r w:rsidR="000253F8" w:rsidRPr="004C0D66">
        <w:t>.</w:t>
      </w:r>
      <w:r w:rsidR="00BD174C" w:rsidRPr="004C0D66">
        <w:t xml:space="preserve"> </w:t>
      </w:r>
    </w:p>
    <w:p w:rsidR="000253F8" w:rsidRPr="004C0D66" w:rsidRDefault="00873D40" w:rsidP="000253F8">
      <w:pPr>
        <w:ind w:left="66"/>
        <w:jc w:val="center"/>
      </w:pPr>
      <w:r w:rsidRPr="004C0D66">
        <w:rPr>
          <w:noProof/>
          <w:lang w:eastAsia="is-IS"/>
        </w:rPr>
        <w:drawing>
          <wp:inline distT="0" distB="0" distL="0" distR="0" wp14:anchorId="44125282" wp14:editId="0DF40EBD">
            <wp:extent cx="4572000" cy="2743200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405D" w:rsidRPr="004C0D66" w:rsidRDefault="00ED6A30" w:rsidP="00ED6A30">
      <w:pPr>
        <w:spacing w:after="0" w:line="240" w:lineRule="auto"/>
        <w:rPr>
          <w:b/>
        </w:rPr>
      </w:pP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rPr>
          <w:b/>
        </w:rPr>
        <w:t>Mynd II</w:t>
      </w:r>
    </w:p>
    <w:p w:rsidR="009B5A4D" w:rsidRDefault="009B5A4D" w:rsidP="00B0405D">
      <w:pPr>
        <w:pStyle w:val="Fyrirsgn2"/>
      </w:pPr>
    </w:p>
    <w:p w:rsidR="009B5A4D" w:rsidRDefault="009B5A4D" w:rsidP="00B0405D">
      <w:pPr>
        <w:pStyle w:val="Fyrirsgn2"/>
      </w:pPr>
    </w:p>
    <w:p w:rsidR="000253F8" w:rsidRPr="004C0D66" w:rsidRDefault="00B0405D" w:rsidP="00B0405D">
      <w:pPr>
        <w:pStyle w:val="Fyrirsgn2"/>
      </w:pPr>
      <w:bookmarkStart w:id="13" w:name="_Toc371061031"/>
      <w:r w:rsidRPr="004C0D66">
        <w:t>Fæðingarár og aldur við komu</w:t>
      </w:r>
      <w:bookmarkEnd w:id="13"/>
    </w:p>
    <w:p w:rsidR="00361C46" w:rsidRPr="004C0D66" w:rsidRDefault="00B85A57" w:rsidP="00330961">
      <w:pPr>
        <w:jc w:val="both"/>
      </w:pPr>
      <w:r w:rsidRPr="004C0D66">
        <w:t>Unglingasmiðjurnar hafa verið að þjóna aldrinum 13 – 16 ára og í töflu I.  er yfirlit</w:t>
      </w:r>
      <w:r w:rsidR="00E477A7" w:rsidRPr="004C0D66">
        <w:t xml:space="preserve"> yfir</w:t>
      </w:r>
      <w:r w:rsidRPr="004C0D66">
        <w:t xml:space="preserve"> </w:t>
      </w:r>
      <w:r w:rsidR="00E477A7" w:rsidRPr="004C0D66">
        <w:t>f</w:t>
      </w:r>
      <w:r w:rsidR="009B5789" w:rsidRPr="004C0D66">
        <w:t>æðingarár og ald</w:t>
      </w:r>
      <w:r w:rsidR="00E477A7" w:rsidRPr="004C0D66">
        <w:t>ur við komu 2011.</w:t>
      </w:r>
      <w:r w:rsidR="00D000A0" w:rsidRPr="004C0D66">
        <w:t xml:space="preserve"> Um 80% unglinganna byrja á aldrinum 13-14 ára.</w:t>
      </w:r>
    </w:p>
    <w:tbl>
      <w:tblPr>
        <w:tblStyle w:val="Ljslisti-hersla11"/>
        <w:tblW w:w="0" w:type="auto"/>
        <w:tblLook w:val="04A0" w:firstRow="1" w:lastRow="0" w:firstColumn="1" w:lastColumn="0" w:noHBand="0" w:noVBand="1"/>
      </w:tblPr>
      <w:tblGrid>
        <w:gridCol w:w="2541"/>
        <w:gridCol w:w="876"/>
        <w:gridCol w:w="876"/>
        <w:gridCol w:w="935"/>
      </w:tblGrid>
      <w:tr w:rsidR="00E477A7" w:rsidRPr="004C0D66" w:rsidTr="00873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gridSpan w:val="3"/>
            <w:noWrap/>
            <w:hideMark/>
          </w:tcPr>
          <w:p w:rsidR="00E477A7" w:rsidRPr="004C0D66" w:rsidRDefault="00E477A7" w:rsidP="00E477A7">
            <w:pPr>
              <w:jc w:val="center"/>
              <w:rPr>
                <w:b w:val="0"/>
                <w:bCs w:val="0"/>
              </w:rPr>
            </w:pPr>
            <w:r w:rsidRPr="004C0D66">
              <w:t>Fæðingarár og aldur við komu 2011-2012</w:t>
            </w:r>
          </w:p>
        </w:tc>
        <w:tc>
          <w:tcPr>
            <w:tcW w:w="922" w:type="dxa"/>
            <w:noWrap/>
            <w:hideMark/>
          </w:tcPr>
          <w:p w:rsidR="00E477A7" w:rsidRPr="004C0D66" w:rsidRDefault="00E477A7" w:rsidP="00E47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477A7" w:rsidRPr="004C0D66" w:rsidTr="0087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:rsidR="00E477A7" w:rsidRPr="004C0D66" w:rsidRDefault="00E477A7" w:rsidP="00E477A7">
            <w:pPr>
              <w:jc w:val="center"/>
              <w:rPr>
                <w:b w:val="0"/>
                <w:bCs w:val="0"/>
              </w:rPr>
            </w:pPr>
            <w:r w:rsidRPr="004C0D66">
              <w:t>Báðar smiðjur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0D66">
              <w:rPr>
                <w:b/>
                <w:bCs/>
              </w:rPr>
              <w:t>Strákar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0D66">
              <w:rPr>
                <w:b/>
                <w:bCs/>
              </w:rPr>
              <w:t>Stelpur</w:t>
            </w:r>
          </w:p>
        </w:tc>
        <w:tc>
          <w:tcPr>
            <w:tcW w:w="922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0D66">
              <w:rPr>
                <w:b/>
                <w:bCs/>
              </w:rPr>
              <w:t>Samtals</w:t>
            </w:r>
          </w:p>
        </w:tc>
      </w:tr>
      <w:tr w:rsidR="00E477A7" w:rsidRPr="004C0D66" w:rsidTr="00873F1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:rsidR="00E477A7" w:rsidRPr="004C0D66" w:rsidRDefault="00E477A7" w:rsidP="00E477A7">
            <w:pPr>
              <w:jc w:val="center"/>
            </w:pPr>
            <w:r w:rsidRPr="004C0D66">
              <w:t>13 ára, fæðingarár 1998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D66">
              <w:t>6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D66">
              <w:t>8</w:t>
            </w:r>
          </w:p>
        </w:tc>
        <w:tc>
          <w:tcPr>
            <w:tcW w:w="922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D66">
              <w:t>14</w:t>
            </w:r>
          </w:p>
        </w:tc>
      </w:tr>
      <w:tr w:rsidR="00E477A7" w:rsidRPr="004C0D66" w:rsidTr="0087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:rsidR="00E477A7" w:rsidRPr="004C0D66" w:rsidRDefault="00E477A7" w:rsidP="00E477A7">
            <w:pPr>
              <w:jc w:val="center"/>
            </w:pPr>
            <w:r w:rsidRPr="004C0D66">
              <w:t>14 ára, fæðingarár 1997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D66">
              <w:t>8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D66">
              <w:t>4</w:t>
            </w:r>
          </w:p>
        </w:tc>
        <w:tc>
          <w:tcPr>
            <w:tcW w:w="922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D66">
              <w:t>12</w:t>
            </w:r>
          </w:p>
        </w:tc>
      </w:tr>
      <w:tr w:rsidR="00E477A7" w:rsidRPr="004C0D66" w:rsidTr="00873F1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:rsidR="00E477A7" w:rsidRPr="004C0D66" w:rsidRDefault="00E477A7" w:rsidP="00E477A7">
            <w:pPr>
              <w:jc w:val="center"/>
            </w:pPr>
            <w:r w:rsidRPr="004C0D66">
              <w:t>15 ára, fæðingarár 1996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D66">
              <w:t>4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D66">
              <w:t>2</w:t>
            </w:r>
          </w:p>
        </w:tc>
        <w:tc>
          <w:tcPr>
            <w:tcW w:w="922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D66">
              <w:t>6</w:t>
            </w:r>
          </w:p>
        </w:tc>
      </w:tr>
      <w:tr w:rsidR="00E477A7" w:rsidRPr="004C0D66" w:rsidTr="0087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:rsidR="00E477A7" w:rsidRPr="004C0D66" w:rsidRDefault="00E477A7" w:rsidP="00E477A7">
            <w:pPr>
              <w:jc w:val="center"/>
            </w:pPr>
            <w:r w:rsidRPr="004C0D66">
              <w:t>16 ára, fæðingarár 1995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D66">
              <w:t>0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D66">
              <w:t>0</w:t>
            </w:r>
          </w:p>
        </w:tc>
        <w:tc>
          <w:tcPr>
            <w:tcW w:w="922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D66">
              <w:t>0</w:t>
            </w:r>
          </w:p>
        </w:tc>
      </w:tr>
      <w:tr w:rsidR="00E477A7" w:rsidRPr="004C0D66" w:rsidTr="00873F1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:rsidR="00E477A7" w:rsidRPr="004C0D66" w:rsidRDefault="00E477A7" w:rsidP="00E477A7">
            <w:pPr>
              <w:jc w:val="center"/>
              <w:rPr>
                <w:b w:val="0"/>
                <w:bCs w:val="0"/>
              </w:rPr>
            </w:pPr>
            <w:r w:rsidRPr="004C0D66">
              <w:t>Samtals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C0D66">
              <w:rPr>
                <w:b/>
                <w:bCs/>
              </w:rPr>
              <w:t>18</w:t>
            </w:r>
          </w:p>
        </w:tc>
        <w:tc>
          <w:tcPr>
            <w:tcW w:w="859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C0D66">
              <w:rPr>
                <w:b/>
                <w:bCs/>
              </w:rPr>
              <w:t>14</w:t>
            </w:r>
          </w:p>
        </w:tc>
        <w:tc>
          <w:tcPr>
            <w:tcW w:w="922" w:type="dxa"/>
            <w:noWrap/>
            <w:hideMark/>
          </w:tcPr>
          <w:p w:rsidR="00E477A7" w:rsidRPr="004C0D66" w:rsidRDefault="00E477A7" w:rsidP="00E47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C0D66">
              <w:rPr>
                <w:b/>
                <w:bCs/>
              </w:rPr>
              <w:t>32</w:t>
            </w:r>
          </w:p>
        </w:tc>
      </w:tr>
    </w:tbl>
    <w:p w:rsidR="00E477A7" w:rsidRPr="004C0D66" w:rsidRDefault="00ED6A30" w:rsidP="003173E3">
      <w:pPr>
        <w:spacing w:before="240" w:line="240" w:lineRule="auto"/>
        <w:ind w:left="3540" w:firstLine="708"/>
        <w:rPr>
          <w:b/>
        </w:rPr>
      </w:pPr>
      <w:r w:rsidRPr="004C0D66">
        <w:rPr>
          <w:b/>
        </w:rPr>
        <w:t>Tafla I</w:t>
      </w:r>
    </w:p>
    <w:p w:rsidR="00B0405D" w:rsidRPr="004C0D66" w:rsidRDefault="00B0405D" w:rsidP="003173E3">
      <w:pPr>
        <w:spacing w:before="240"/>
      </w:pPr>
    </w:p>
    <w:p w:rsidR="00B0405D" w:rsidRPr="004C0D66" w:rsidRDefault="00B0405D" w:rsidP="00E477A7"/>
    <w:p w:rsidR="00B0405D" w:rsidRPr="004C0D66" w:rsidRDefault="00B0405D" w:rsidP="00E477A7"/>
    <w:p w:rsidR="00B0405D" w:rsidRPr="004C0D66" w:rsidRDefault="00B0405D" w:rsidP="00E477A7"/>
    <w:p w:rsidR="00B0405D" w:rsidRPr="004C0D66" w:rsidRDefault="00B0405D" w:rsidP="00E477A7"/>
    <w:p w:rsidR="00B0405D" w:rsidRPr="004C0D66" w:rsidRDefault="00B0405D" w:rsidP="00E477A7"/>
    <w:p w:rsidR="00FF61CC" w:rsidRPr="004C0D66" w:rsidRDefault="00FF61CC" w:rsidP="00FF61CC">
      <w:pPr>
        <w:pStyle w:val="Fyrirsgn2"/>
      </w:pPr>
      <w:bookmarkStart w:id="14" w:name="_Toc371061032"/>
      <w:r w:rsidRPr="004C0D66">
        <w:t>Skóli nýrra vistaðra</w:t>
      </w:r>
      <w:bookmarkEnd w:id="14"/>
    </w:p>
    <w:p w:rsidR="00E477A7" w:rsidRPr="004C0D66" w:rsidRDefault="00B0405D" w:rsidP="00330961">
      <w:pPr>
        <w:jc w:val="both"/>
      </w:pPr>
      <w:r w:rsidRPr="004C0D66">
        <w:t xml:space="preserve">Flestir unglingarnir komu úr Árbæjarskóla eða 5 talsins. Úr Hagaskóla, Langholtsskóla og Ölduselsskóla komu þrír unglingar en færri unglingar komu úr öðrum skólum í Reykjavík </w:t>
      </w:r>
      <w:r w:rsidR="00BD174C" w:rsidRPr="004C0D66">
        <w:t>Í töflu II.</w:t>
      </w:r>
      <w:r w:rsidR="00093370" w:rsidRPr="004C0D66">
        <w:t xml:space="preserve"> og mynd III.</w:t>
      </w:r>
      <w:r w:rsidR="00BD174C" w:rsidRPr="004C0D66">
        <w:t xml:space="preserve"> </w:t>
      </w:r>
      <w:r w:rsidR="000C1EEB" w:rsidRPr="004C0D66">
        <w:t>e</w:t>
      </w:r>
      <w:r w:rsidR="00BD174C" w:rsidRPr="004C0D66">
        <w:t xml:space="preserve">r yfirlit yfir skóla þeirra unglinga sem hófu </w:t>
      </w:r>
      <w:r w:rsidRPr="004C0D66">
        <w:t>þátttöku</w:t>
      </w:r>
      <w:r w:rsidR="00BD174C" w:rsidRPr="004C0D66">
        <w:t xml:space="preserve"> veturinn 2011-2012.</w:t>
      </w:r>
    </w:p>
    <w:tbl>
      <w:tblPr>
        <w:tblStyle w:val="Ljslisti-hersla11"/>
        <w:tblW w:w="5231" w:type="dxa"/>
        <w:tblLook w:val="04A0" w:firstRow="1" w:lastRow="0" w:firstColumn="1" w:lastColumn="0" w:noHBand="0" w:noVBand="1"/>
      </w:tblPr>
      <w:tblGrid>
        <w:gridCol w:w="2496"/>
        <w:gridCol w:w="983"/>
        <w:gridCol w:w="790"/>
        <w:gridCol w:w="962"/>
      </w:tblGrid>
      <w:tr w:rsidR="0074245F" w:rsidRPr="004C0D66" w:rsidTr="00673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gridSpan w:val="3"/>
            <w:noWrap/>
            <w:hideMark/>
          </w:tcPr>
          <w:p w:rsidR="0074245F" w:rsidRPr="004C0D66" w:rsidRDefault="0074245F" w:rsidP="0074245F">
            <w:pPr>
              <w:jc w:val="center"/>
              <w:rPr>
                <w:rFonts w:eastAsia="Times New Roman" w:cs="Times New Roman"/>
                <w:b w:val="0"/>
                <w:bCs w:val="0"/>
                <w:lang w:eastAsia="is-IS"/>
              </w:rPr>
            </w:pPr>
            <w:r w:rsidRPr="004C0D66">
              <w:rPr>
                <w:rFonts w:eastAsia="Times New Roman" w:cs="Times New Roman"/>
                <w:lang w:eastAsia="is-IS"/>
              </w:rPr>
              <w:t>Skóli nýrra vistaðra, eftir smiðjum, 2011-2012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b w:val="0"/>
                <w:bCs w:val="0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 xml:space="preserve">Skólar 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b/>
                <w:bCs/>
                <w:color w:val="000000"/>
                <w:lang w:eastAsia="is-IS"/>
              </w:rPr>
              <w:t>Stígur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b/>
                <w:bCs/>
                <w:color w:val="000000"/>
                <w:lang w:eastAsia="is-IS"/>
              </w:rPr>
              <w:t>Tröð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b/>
                <w:bCs/>
                <w:color w:val="000000"/>
                <w:lang w:eastAsia="is-IS"/>
              </w:rPr>
              <w:t>Samtals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Árbæjarskóli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5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5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Breiðholtsskóli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2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Brúarskóli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Fellaskóli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Foldaskóli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Hagaskóli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3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3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Hamraskóli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Hlíðaskóli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Húsaskóli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Langholtsskóli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3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3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Norðlingaskóli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Réttarholtsskóli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Sæmundarskóli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Tjarnarskóli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2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Víkurskóli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1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Vogaskóli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2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2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Waldorfskóli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2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2</w:t>
            </w:r>
          </w:p>
        </w:tc>
      </w:tr>
      <w:tr w:rsidR="0074245F" w:rsidRPr="004C0D66" w:rsidTr="00673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Ölduselsskóli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3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3</w:t>
            </w:r>
          </w:p>
        </w:tc>
      </w:tr>
      <w:tr w:rsidR="0074245F" w:rsidRPr="004C0D66" w:rsidTr="00673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noWrap/>
            <w:hideMark/>
          </w:tcPr>
          <w:p w:rsidR="0074245F" w:rsidRPr="004C0D66" w:rsidRDefault="0074245F" w:rsidP="0074245F">
            <w:pPr>
              <w:rPr>
                <w:rFonts w:eastAsia="Times New Roman" w:cs="Times New Roman"/>
                <w:b w:val="0"/>
                <w:bCs w:val="0"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color w:val="000000"/>
                <w:lang w:eastAsia="is-IS"/>
              </w:rPr>
              <w:t>Samtals</w:t>
            </w:r>
          </w:p>
        </w:tc>
        <w:tc>
          <w:tcPr>
            <w:tcW w:w="983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b/>
                <w:bCs/>
                <w:color w:val="000000"/>
                <w:lang w:eastAsia="is-IS"/>
              </w:rPr>
              <w:t>16</w:t>
            </w:r>
          </w:p>
        </w:tc>
        <w:tc>
          <w:tcPr>
            <w:tcW w:w="790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b/>
                <w:bCs/>
                <w:color w:val="000000"/>
                <w:lang w:eastAsia="is-IS"/>
              </w:rPr>
              <w:t>16</w:t>
            </w:r>
          </w:p>
        </w:tc>
        <w:tc>
          <w:tcPr>
            <w:tcW w:w="962" w:type="dxa"/>
            <w:noWrap/>
            <w:hideMark/>
          </w:tcPr>
          <w:p w:rsidR="0074245F" w:rsidRPr="004C0D66" w:rsidRDefault="0074245F" w:rsidP="0074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lang w:eastAsia="is-IS"/>
              </w:rPr>
            </w:pPr>
            <w:r w:rsidRPr="004C0D66">
              <w:rPr>
                <w:rFonts w:eastAsia="Times New Roman" w:cs="Times New Roman"/>
                <w:b/>
                <w:bCs/>
                <w:color w:val="000000"/>
                <w:lang w:eastAsia="is-IS"/>
              </w:rPr>
              <w:t>32</w:t>
            </w:r>
          </w:p>
        </w:tc>
      </w:tr>
    </w:tbl>
    <w:p w:rsidR="0074245F" w:rsidRPr="004C0D66" w:rsidRDefault="003173E3" w:rsidP="003173E3">
      <w:pPr>
        <w:spacing w:before="240"/>
        <w:rPr>
          <w:b/>
        </w:rPr>
      </w:pP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rPr>
          <w:b/>
        </w:rPr>
        <w:t>Tafla II</w:t>
      </w:r>
    </w:p>
    <w:p w:rsidR="00412CDE" w:rsidRPr="004C0D66" w:rsidRDefault="00950BC9" w:rsidP="00412CDE">
      <w:pPr>
        <w:keepNext/>
        <w:jc w:val="center"/>
      </w:pPr>
      <w:r w:rsidRPr="004C0D66">
        <w:rPr>
          <w:noProof/>
          <w:lang w:eastAsia="is-IS"/>
        </w:rPr>
        <w:lastRenderedPageBreak/>
        <w:drawing>
          <wp:inline distT="0" distB="0" distL="0" distR="0" wp14:anchorId="66E6140B" wp14:editId="239BCA5B">
            <wp:extent cx="5133975" cy="274320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405D" w:rsidRPr="004C0D66" w:rsidRDefault="003173E3" w:rsidP="003173E3">
      <w:pPr>
        <w:ind w:left="7080" w:firstLine="708"/>
        <w:jc w:val="both"/>
        <w:rPr>
          <w:b/>
        </w:rPr>
      </w:pPr>
      <w:r w:rsidRPr="004C0D66">
        <w:rPr>
          <w:b/>
        </w:rPr>
        <w:t>Mynd III</w:t>
      </w:r>
    </w:p>
    <w:p w:rsidR="00B0405D" w:rsidRPr="004C0D66" w:rsidRDefault="00B0405D" w:rsidP="00B0405D">
      <w:pPr>
        <w:pStyle w:val="Fyrirsgn2"/>
      </w:pPr>
      <w:bookmarkStart w:id="15" w:name="_Toc371061033"/>
      <w:r w:rsidRPr="004C0D66">
        <w:t>Tilvísendur nýrra vistana</w:t>
      </w:r>
      <w:bookmarkEnd w:id="15"/>
    </w:p>
    <w:p w:rsidR="004B143B" w:rsidRPr="004C0D66" w:rsidRDefault="00D000A0" w:rsidP="000B4D92">
      <w:pPr>
        <w:jc w:val="both"/>
      </w:pPr>
      <w:r w:rsidRPr="004C0D66">
        <w:t xml:space="preserve">Þegar litið er á skiptingu umsóknaraðila unglinganna kemur í ljós að flestar umsóknir koma frá Þjónustumiðstöð Breiðholts eða Þjónustumiðstöð Laugardals- og háaleitis. Í töflu III. og mynd IV. </w:t>
      </w:r>
      <w:r w:rsidR="00203C5C" w:rsidRPr="004C0D66">
        <w:t>m</w:t>
      </w:r>
      <w:r w:rsidRPr="004C0D66">
        <w:t>á sjá skiptingu umsóknaraðila.</w:t>
      </w:r>
    </w:p>
    <w:p w:rsidR="00FF61CC" w:rsidRPr="00C1433F" w:rsidRDefault="00FF61CC" w:rsidP="00FF61CC">
      <w:pPr>
        <w:pStyle w:val="Fyrirsgn2"/>
      </w:pPr>
    </w:p>
    <w:tbl>
      <w:tblPr>
        <w:tblStyle w:val="Ljslisti-hersla11"/>
        <w:tblW w:w="5220" w:type="dxa"/>
        <w:tblLook w:val="04A0" w:firstRow="1" w:lastRow="0" w:firstColumn="1" w:lastColumn="0" w:noHBand="0" w:noVBand="1"/>
      </w:tblPr>
      <w:tblGrid>
        <w:gridCol w:w="1994"/>
        <w:gridCol w:w="1133"/>
        <w:gridCol w:w="1133"/>
        <w:gridCol w:w="960"/>
      </w:tblGrid>
      <w:tr w:rsidR="00332CD7" w:rsidRPr="00C1433F" w:rsidTr="00332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gridSpan w:val="3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</w:rPr>
            </w:pPr>
            <w:r w:rsidRPr="00C1433F">
              <w:rPr>
                <w:rFonts w:ascii="Calibri" w:eastAsia="Times New Roman" w:hAnsi="Calibri" w:cs="Times New Roman"/>
              </w:rPr>
              <w:t>Umsóknaraðilar nýrra vistaðra 2011-2012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2CD7" w:rsidRPr="00C1433F" w:rsidTr="0033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2CD7" w:rsidRPr="00C1433F" w:rsidTr="00332C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Tilvísendur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b/>
                <w:bCs/>
                <w:color w:val="000000"/>
              </w:rPr>
              <w:t>Strákar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b/>
                <w:bCs/>
                <w:color w:val="000000"/>
              </w:rPr>
              <w:t>Stelpur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b/>
                <w:bCs/>
                <w:color w:val="000000"/>
              </w:rPr>
              <w:t>Samtals</w:t>
            </w:r>
          </w:p>
        </w:tc>
      </w:tr>
      <w:tr w:rsidR="00332CD7" w:rsidRPr="00C1433F" w:rsidTr="0033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ÞB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32CD7" w:rsidRPr="00C1433F" w:rsidTr="00332C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ÞÁG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32CD7" w:rsidRPr="00C1433F" w:rsidTr="0033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Miðgarður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32CD7" w:rsidRPr="00C1433F" w:rsidTr="00332C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ÞLH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32CD7" w:rsidRPr="00C1433F" w:rsidTr="0033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ÞMH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32CD7" w:rsidRPr="00C1433F" w:rsidTr="00332C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Vesturgarður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32CD7" w:rsidRPr="00C1433F" w:rsidTr="0033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Barnavernd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32CD7" w:rsidRPr="00C1433F" w:rsidTr="00332C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noWrap/>
            <w:hideMark/>
          </w:tcPr>
          <w:p w:rsidR="00332CD7" w:rsidRPr="00C1433F" w:rsidRDefault="00332CD7" w:rsidP="00332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color w:val="000000"/>
              </w:rPr>
              <w:t>Samtals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332CD7" w:rsidRPr="00C1433F" w:rsidRDefault="00332CD7" w:rsidP="00332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32CD7" w:rsidRPr="00C1433F" w:rsidRDefault="00332CD7" w:rsidP="00332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433F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</w:tr>
    </w:tbl>
    <w:p w:rsidR="000B4D92" w:rsidRPr="004C0D66" w:rsidRDefault="003173E3" w:rsidP="003173E3">
      <w:pPr>
        <w:spacing w:before="240"/>
        <w:jc w:val="both"/>
        <w:rPr>
          <w:b/>
        </w:rPr>
      </w:pPr>
      <w:r>
        <w:tab/>
      </w:r>
      <w:r>
        <w:tab/>
      </w:r>
      <w:r>
        <w:tab/>
      </w:r>
      <w:r w:rsidRPr="004C0D66">
        <w:tab/>
      </w:r>
      <w:r w:rsidRPr="004C0D66">
        <w:tab/>
      </w:r>
      <w:r w:rsidRPr="004C0D66">
        <w:tab/>
      </w:r>
      <w:r w:rsidRPr="004C0D66">
        <w:rPr>
          <w:b/>
        </w:rPr>
        <w:t>Tafla III</w:t>
      </w:r>
    </w:p>
    <w:p w:rsidR="000349B1" w:rsidRPr="004C0D66" w:rsidRDefault="00DB2E05" w:rsidP="00412CDE">
      <w:pPr>
        <w:jc w:val="center"/>
      </w:pPr>
      <w:r w:rsidRPr="004C0D66">
        <w:rPr>
          <w:noProof/>
          <w:lang w:eastAsia="is-IS"/>
        </w:rPr>
        <w:lastRenderedPageBreak/>
        <w:drawing>
          <wp:inline distT="0" distB="0" distL="0" distR="0" wp14:anchorId="2AAECF2A" wp14:editId="0F4E4A63">
            <wp:extent cx="5295900" cy="2871787"/>
            <wp:effectExtent l="19050" t="0" r="19050" b="4763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405D" w:rsidRPr="004C0D66" w:rsidRDefault="009D5D31" w:rsidP="009D5D31">
      <w:pPr>
        <w:rPr>
          <w:b/>
        </w:rPr>
      </w:pP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rPr>
          <w:b/>
        </w:rPr>
        <w:t>Mynd IV</w:t>
      </w:r>
    </w:p>
    <w:p w:rsidR="00860D02" w:rsidRPr="004C0D66" w:rsidRDefault="00FF61CC" w:rsidP="00FF61CC">
      <w:pPr>
        <w:pStyle w:val="Fyrirsgn2"/>
      </w:pPr>
      <w:bookmarkStart w:id="16" w:name="_Toc371061034"/>
      <w:r w:rsidRPr="004C0D66">
        <w:t>Tilgreindar ástæður vistunar</w:t>
      </w:r>
      <w:bookmarkEnd w:id="16"/>
    </w:p>
    <w:p w:rsidR="00B0405D" w:rsidRPr="004C0D66" w:rsidRDefault="00B0405D" w:rsidP="00330961">
      <w:pPr>
        <w:jc w:val="both"/>
      </w:pPr>
      <w:r w:rsidRPr="004C0D66">
        <w:t xml:space="preserve">Þegar skoðaðar eru tilgreindar ástæður vistana </w:t>
      </w:r>
      <w:r w:rsidR="00330961" w:rsidRPr="004C0D66">
        <w:t xml:space="preserve">(tafla IV.) </w:t>
      </w:r>
      <w:r w:rsidRPr="004C0D66">
        <w:t xml:space="preserve">sést að </w:t>
      </w:r>
      <w:r w:rsidR="00EF5E54" w:rsidRPr="004C0D66">
        <w:t>88% þátttakenda er með félagslega einangrun, höfnun, stríðni eða einelti sem tilvísunarástæðu.</w:t>
      </w:r>
      <w:r w:rsidR="00F920E4" w:rsidRPr="004C0D66">
        <w:t xml:space="preserve"> Þetta er algengasta ástæða tilvísunar og hefur einnig verið fyrri ár (sjá nánar í fyrri árskýrslum). 59% </w:t>
      </w:r>
      <w:r w:rsidR="005E59A1" w:rsidRPr="004C0D66">
        <w:t>þátttakenda</w:t>
      </w:r>
      <w:r w:rsidR="00F920E4" w:rsidRPr="004C0D66">
        <w:t xml:space="preserve"> voru með slaka námsstöðu og slakar mætingar sem tilvísunarástæðu. 56%</w:t>
      </w:r>
      <w:r w:rsidR="005E59A1" w:rsidRPr="004C0D66">
        <w:t xml:space="preserve"> unglinganna voru með greiningar. Einungis 31% eru með tilvísunarástæðuna lágt sjálfsmat og lítið sjálftraust</w:t>
      </w:r>
      <w:r w:rsidR="00330961" w:rsidRPr="004C0D66">
        <w:t>, en vert er að geta þess að það er eitt af megin markmiðum unglingasmiðjanna að efla sjálftraust.</w:t>
      </w:r>
    </w:p>
    <w:p w:rsidR="00B0405D" w:rsidRPr="004C0D66" w:rsidRDefault="00B0405D" w:rsidP="00B0405D"/>
    <w:tbl>
      <w:tblPr>
        <w:tblStyle w:val="Ljslisti-hersla11"/>
        <w:tblW w:w="7871" w:type="dxa"/>
        <w:tblLook w:val="04A0" w:firstRow="1" w:lastRow="0" w:firstColumn="1" w:lastColumn="0" w:noHBand="0" w:noVBand="1"/>
      </w:tblPr>
      <w:tblGrid>
        <w:gridCol w:w="5333"/>
        <w:gridCol w:w="551"/>
        <w:gridCol w:w="1765"/>
        <w:gridCol w:w="222"/>
      </w:tblGrid>
      <w:tr w:rsidR="00176799" w:rsidRPr="004C0D66" w:rsidTr="009D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4" w:type="dxa"/>
            <w:gridSpan w:val="2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b w:val="0"/>
                <w:bCs w:val="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lang w:eastAsia="is-IS"/>
              </w:rPr>
              <w:t>Tilgreindar ástæður nýrra vistana í báðum smiðjum 2011-2012</w:t>
            </w:r>
          </w:p>
        </w:tc>
        <w:tc>
          <w:tcPr>
            <w:tcW w:w="1987" w:type="dxa"/>
            <w:gridSpan w:val="2"/>
            <w:noWrap/>
            <w:hideMark/>
          </w:tcPr>
          <w:p w:rsidR="00176799" w:rsidRPr="004C0D66" w:rsidRDefault="00176799" w:rsidP="00176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is-IS"/>
              </w:rPr>
            </w:pPr>
          </w:p>
        </w:tc>
      </w:tr>
      <w:tr w:rsidR="00176799" w:rsidRPr="004C0D66" w:rsidTr="009D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Áhættu- / Neysluhegðun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0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0%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Depurð / þunglyndi / kvíði / vanlíðan / vanvirkni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1</w:t>
            </w:r>
            <w:r w:rsidR="00163D75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5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47</w:t>
            </w:r>
            <w:r w:rsidR="00176799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Erfiðar fjölskylduaðstæður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1</w:t>
            </w:r>
            <w:r w:rsidR="00163D75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1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34%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Erfitt sjúkdómsferli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0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0%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Félagsleg einangrun / höfnun / stríðni / einelti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2</w:t>
            </w:r>
            <w:r w:rsidR="00163D75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8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88</w:t>
            </w:r>
            <w:r w:rsidR="00176799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Greiningar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1</w:t>
            </w:r>
            <w:r w:rsidR="00163D75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8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56</w:t>
            </w:r>
            <w:r w:rsidR="00176799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s-IS"/>
              </w:rPr>
            </w:pPr>
          </w:p>
        </w:tc>
      </w:tr>
      <w:tr w:rsidR="00176799" w:rsidRPr="004C0D66" w:rsidTr="009D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Hegðunar- / samskiptaerfiðleikar / slök félagsfærni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20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63</w:t>
            </w:r>
            <w:r w:rsidR="00176799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Lágt sjálfsmat / Lítið sjálfstraust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10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31</w:t>
            </w:r>
            <w:r w:rsidR="00176799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Slök námsstaða / slakar mætingar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1</w:t>
            </w:r>
            <w:r w:rsidR="00163D75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9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59</w:t>
            </w:r>
            <w:r w:rsidR="00176799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Þroskafrávik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4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63D75" w:rsidP="001767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13</w:t>
            </w:r>
            <w:r w:rsidR="00176799"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176799" w:rsidRPr="004C0D66" w:rsidTr="009D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noWrap/>
            <w:hideMark/>
          </w:tcPr>
          <w:p w:rsidR="00176799" w:rsidRPr="004C0D66" w:rsidRDefault="00176799" w:rsidP="0017679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color w:val="000000"/>
                <w:lang w:eastAsia="is-IS"/>
              </w:rPr>
              <w:t>Samtals</w:t>
            </w:r>
          </w:p>
        </w:tc>
        <w:tc>
          <w:tcPr>
            <w:tcW w:w="551" w:type="dxa"/>
            <w:noWrap/>
            <w:hideMark/>
          </w:tcPr>
          <w:p w:rsidR="00176799" w:rsidRPr="004C0D66" w:rsidRDefault="00176799" w:rsidP="001767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1</w:t>
            </w:r>
            <w:r w:rsidR="00163D75" w:rsidRPr="004C0D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25</w:t>
            </w:r>
          </w:p>
        </w:tc>
        <w:tc>
          <w:tcPr>
            <w:tcW w:w="1765" w:type="dxa"/>
            <w:noWrap/>
            <w:hideMark/>
          </w:tcPr>
          <w:p w:rsidR="00176799" w:rsidRPr="004C0D66" w:rsidRDefault="00176799" w:rsidP="00176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4C0D66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76799" w:rsidRPr="004C0D66" w:rsidRDefault="00176799" w:rsidP="00176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</w:tbl>
    <w:p w:rsidR="00641230" w:rsidRPr="004C0D66" w:rsidRDefault="00F2350F" w:rsidP="00F2350F">
      <w:pPr>
        <w:spacing w:before="240" w:after="0"/>
        <w:rPr>
          <w:b/>
        </w:rPr>
      </w:pP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rPr>
          <w:b/>
        </w:rPr>
        <w:t>Tafla IV</w:t>
      </w:r>
    </w:p>
    <w:p w:rsidR="00257DC2" w:rsidRPr="004C0D66" w:rsidRDefault="00257DC2" w:rsidP="0083022F"/>
    <w:p w:rsidR="00FF61CC" w:rsidRPr="004C0D66" w:rsidRDefault="00FF61CC" w:rsidP="00FF61CC">
      <w:pPr>
        <w:pStyle w:val="Fyrirsgn2"/>
      </w:pPr>
      <w:bookmarkStart w:id="17" w:name="_Toc371061035"/>
      <w:r w:rsidRPr="004C0D66">
        <w:lastRenderedPageBreak/>
        <w:t>Útskrifaðir og dvalarlengd</w:t>
      </w:r>
      <w:bookmarkEnd w:id="17"/>
    </w:p>
    <w:p w:rsidR="005056AF" w:rsidRPr="004C0D66" w:rsidRDefault="00CC40F7" w:rsidP="00CC40F7">
      <w:pPr>
        <w:jc w:val="both"/>
      </w:pPr>
      <w:r w:rsidRPr="004C0D66">
        <w:t xml:space="preserve">Veturinn 2011-2012 </w:t>
      </w:r>
      <w:r w:rsidR="00330961" w:rsidRPr="004C0D66">
        <w:t>útskrifuðust</w:t>
      </w:r>
      <w:r w:rsidRPr="004C0D66">
        <w:t xml:space="preserve"> 28 unglingar úr unglingasmiðjunum, 14 frá Tröð og 14 frá Stíg. Þegar skoðaður er dvalartími útskrifaðra kemur í ljós að um helmingurinn eða 14 nýta sér unglingasmiðjurnar í 9-12 mánuði</w:t>
      </w:r>
      <w:r w:rsidR="00A25C21" w:rsidRPr="004C0D66">
        <w:t>, sjá mynd V</w:t>
      </w:r>
      <w:r w:rsidRPr="004C0D66">
        <w:t>. En það er sá tími sem lagt er upp með að flestir unglingar þurfi til að öðlast þá færni að geta nýtt sér önnur almenn úrræði.</w:t>
      </w:r>
    </w:p>
    <w:p w:rsidR="00CC40F7" w:rsidRPr="004C0D66" w:rsidRDefault="00CC40F7" w:rsidP="00CC40F7">
      <w:pPr>
        <w:jc w:val="center"/>
      </w:pPr>
      <w:r w:rsidRPr="004C0D66">
        <w:rPr>
          <w:noProof/>
          <w:lang w:eastAsia="is-IS"/>
        </w:rPr>
        <w:drawing>
          <wp:inline distT="0" distB="0" distL="0" distR="0" wp14:anchorId="4988806C" wp14:editId="14B37B84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0DF8" w:rsidRPr="004C0D66" w:rsidRDefault="00F2350F" w:rsidP="00F2350F">
      <w:pPr>
        <w:spacing w:after="0" w:line="240" w:lineRule="auto"/>
        <w:rPr>
          <w:b/>
        </w:rPr>
      </w:pP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tab/>
      </w:r>
      <w:r w:rsidRPr="004C0D66">
        <w:rPr>
          <w:b/>
        </w:rPr>
        <w:t>Mynd V</w:t>
      </w:r>
    </w:p>
    <w:p w:rsidR="00257DC2" w:rsidRPr="004C0D66" w:rsidRDefault="00257DC2" w:rsidP="00E62883">
      <w:pPr>
        <w:rPr>
          <w:u w:val="single"/>
        </w:rPr>
      </w:pPr>
    </w:p>
    <w:p w:rsidR="00BF7F04" w:rsidRPr="004C0D66" w:rsidRDefault="00BF7F04" w:rsidP="00FF61CC">
      <w:pPr>
        <w:pStyle w:val="Fyrirsgn1"/>
      </w:pPr>
    </w:p>
    <w:p w:rsidR="00BF7F04" w:rsidRPr="004C0D66" w:rsidRDefault="00BF7F04" w:rsidP="00FF61CC">
      <w:pPr>
        <w:pStyle w:val="Fyrirsgn1"/>
      </w:pPr>
    </w:p>
    <w:p w:rsidR="00BF7F04" w:rsidRPr="004C0D66" w:rsidRDefault="00BF7F04" w:rsidP="00FF61CC">
      <w:pPr>
        <w:pStyle w:val="Fyrirsgn1"/>
      </w:pPr>
    </w:p>
    <w:p w:rsidR="00BF7F04" w:rsidRPr="004C0D66" w:rsidRDefault="00BF7F04" w:rsidP="00BF7F04"/>
    <w:p w:rsidR="00BF7F04" w:rsidRPr="004C0D66" w:rsidRDefault="00BF7F04" w:rsidP="00FF61CC">
      <w:pPr>
        <w:pStyle w:val="Fyrirsgn1"/>
      </w:pPr>
    </w:p>
    <w:p w:rsidR="00BF7F04" w:rsidRPr="004C0D66" w:rsidRDefault="00BF7F04" w:rsidP="00FF61CC">
      <w:pPr>
        <w:pStyle w:val="Fyrirsgn1"/>
      </w:pPr>
    </w:p>
    <w:p w:rsidR="00BF7F04" w:rsidRPr="004C0D66" w:rsidRDefault="00BF7F04" w:rsidP="00FF61CC">
      <w:pPr>
        <w:pStyle w:val="Fyrirsgn1"/>
      </w:pPr>
    </w:p>
    <w:p w:rsidR="00BF7F04" w:rsidRPr="004C0D66" w:rsidRDefault="00BF7F04" w:rsidP="00BF7F04"/>
    <w:p w:rsidR="00510ACC" w:rsidRPr="004C0D66" w:rsidRDefault="00E62883" w:rsidP="00FF61CC">
      <w:pPr>
        <w:pStyle w:val="Fyrirsgn1"/>
      </w:pPr>
      <w:bookmarkStart w:id="18" w:name="_Toc371061036"/>
      <w:r w:rsidRPr="004C0D66">
        <w:lastRenderedPageBreak/>
        <w:t>Lokaorð</w:t>
      </w:r>
      <w:bookmarkEnd w:id="18"/>
    </w:p>
    <w:p w:rsidR="001506BE" w:rsidRPr="004C0D66" w:rsidRDefault="001506BE" w:rsidP="00C7496C">
      <w:pPr>
        <w:jc w:val="both"/>
      </w:pPr>
      <w:r w:rsidRPr="004C0D66">
        <w:t>Eftir fyrsta heila starfsvetur undirritaðrar sem forstöðumaður í unglingasmiðjunum er rétt að fara yfir þær breytingar sem voru gerðar á fyrirkomulagi í unglingasmiðjunum frá áramótum 2011 þegar nýr forstöðumaður tók við starfinu.</w:t>
      </w:r>
      <w:r w:rsidR="00C7496C" w:rsidRPr="004C0D66">
        <w:t xml:space="preserve"> Innra starf smiðjanna er með samskonar sniði og það hefur verið undanfarin ár en frekar hefur veri</w:t>
      </w:r>
      <w:r w:rsidR="00257DC2" w:rsidRPr="004C0D66">
        <w:t xml:space="preserve">ð lagt upp úr samstarfi við ÍTR. Annars vegar með </w:t>
      </w:r>
      <w:r w:rsidR="00C7496C" w:rsidRPr="004C0D66">
        <w:t xml:space="preserve">verkefninu Unglingabrúin sem var samstarfsverkefni Frístundamiðstöðvarinnar Miðbergs, Fjölbrautarskóla Breiðholts og Unglingasmiðjanna og </w:t>
      </w:r>
      <w:r w:rsidR="00AE0705" w:rsidRPr="004C0D66">
        <w:t>einnig</w:t>
      </w:r>
      <w:r w:rsidR="00C7496C" w:rsidRPr="004C0D66">
        <w:t xml:space="preserve"> með auknum heimsóknum í félagsmiðstöðvar og kynningu á starfsemi þeirra.</w:t>
      </w:r>
      <w:r w:rsidR="00AE0705" w:rsidRPr="004C0D66">
        <w:t xml:space="preserve"> Sú breyting varð á fyrirkomulagi starfsins veturinn 2011-2012 að báðir hópar í hvorri smiðju fengu jafn langan dvalartíma í smiðju eða 8,5 klst. á viku (5 klst</w:t>
      </w:r>
      <w:r w:rsidR="00257DC2" w:rsidRPr="004C0D66">
        <w:t>.</w:t>
      </w:r>
      <w:r w:rsidR="00AE0705" w:rsidRPr="004C0D66">
        <w:t xml:space="preserve"> fyrra </w:t>
      </w:r>
      <w:r w:rsidR="00257DC2" w:rsidRPr="004C0D66">
        <w:t>kvöldið</w:t>
      </w:r>
      <w:r w:rsidR="00AE0705" w:rsidRPr="004C0D66">
        <w:t xml:space="preserve"> í vikunni og 3,5 klst</w:t>
      </w:r>
      <w:r w:rsidR="00257DC2" w:rsidRPr="004C0D66">
        <w:t>.</w:t>
      </w:r>
      <w:r w:rsidR="00AE0705" w:rsidRPr="004C0D66">
        <w:t xml:space="preserve"> seinna kvöldið í vikunni). Þetta fyrirkomulag hefur reynst vel og hefur bæði starfsfólk og þ</w:t>
      </w:r>
      <w:r w:rsidR="00FD1813" w:rsidRPr="004C0D66">
        <w:t>áttta</w:t>
      </w:r>
      <w:r w:rsidR="00AE0705" w:rsidRPr="004C0D66">
        <w:t xml:space="preserve">kendur verið ánægðir með þetta fyrirkomulag. </w:t>
      </w:r>
    </w:p>
    <w:p w:rsidR="00C65955" w:rsidRPr="004C0D66" w:rsidRDefault="00C65955" w:rsidP="00C7496C">
      <w:pPr>
        <w:jc w:val="both"/>
      </w:pPr>
      <w:r w:rsidRPr="004C0D66">
        <w:t xml:space="preserve">Starfsmönnum í báðum smiðjum var fækkað um einn og eftir breytinguna urðu 5 starfsmenn í 33,33% starfshlutfalli. Allir starfsmenn unnu samkvæmt vaktarkerfi og sinntum báðum hópunum í staðinn fyrir að vera alltaf með sama hópinn áður. </w:t>
      </w:r>
      <w:r w:rsidR="00695BD5" w:rsidRPr="004C0D66">
        <w:t xml:space="preserve">Í kjölfarið hefur samvinna á milli </w:t>
      </w:r>
      <w:r w:rsidR="00257DC2" w:rsidRPr="004C0D66">
        <w:t>starfsstaðanna</w:t>
      </w:r>
      <w:r w:rsidR="00695BD5" w:rsidRPr="004C0D66">
        <w:t xml:space="preserve"> í Tröð og Stíg aukist bæði með sameiginlegum kvöldum á milli smiðja, sameiginlegum </w:t>
      </w:r>
      <w:r w:rsidR="00257DC2" w:rsidRPr="004C0D66">
        <w:t>starfsmannafundum</w:t>
      </w:r>
      <w:r w:rsidR="00695BD5" w:rsidRPr="004C0D66">
        <w:t xml:space="preserve"> og fræðslu fyrir starfsfólk auk þemaviku þvert á smiðjur sem </w:t>
      </w:r>
      <w:r w:rsidR="002D2313" w:rsidRPr="004C0D66">
        <w:t>mikil ánægja var með.</w:t>
      </w:r>
    </w:p>
    <w:p w:rsidR="00D94AC2" w:rsidRPr="004C0D66" w:rsidRDefault="00D94AC2" w:rsidP="00D94AC2">
      <w:pPr>
        <w:jc w:val="both"/>
      </w:pPr>
      <w:r w:rsidRPr="004C0D66">
        <w:t xml:space="preserve">Veturinn gekk vel í heildina og var um helmingur nýrra </w:t>
      </w:r>
      <w:r w:rsidR="00257DC2" w:rsidRPr="004C0D66">
        <w:t>þátttakenda</w:t>
      </w:r>
      <w:r w:rsidRPr="004C0D66">
        <w:t xml:space="preserve"> sem var einn vetur. Samkvæmt foreldrakönnun voru flestir </w:t>
      </w:r>
      <w:r w:rsidRPr="004C0D66">
        <w:rPr>
          <w:rFonts w:eastAsia="Times New Roman" w:cs="Times New Roman"/>
        </w:rPr>
        <w:t>ánægðir með það starfið og telja að það skili árangri.</w:t>
      </w:r>
      <w:r w:rsidR="00390DF8" w:rsidRPr="004C0D66">
        <w:t xml:space="preserve"> Sú nýbreytni var einnig tekin upp að tilvísendur og </w:t>
      </w:r>
      <w:r w:rsidR="00257DC2" w:rsidRPr="004C0D66">
        <w:t>foreldrar</w:t>
      </w:r>
      <w:r w:rsidR="00390DF8" w:rsidRPr="004C0D66">
        <w:t xml:space="preserve"> fá lokaskýrslu eftir dvöl unglingsins í unglingasmiðjunum. Þar er tekin upplýsingar um mætingu, virkni, starfsemina, markmið, árangur og framför. Mikil ánægja hefur verið á meðal tilvísenda og foreldra með þetta fyrirkomulag.</w:t>
      </w:r>
      <w:r w:rsidRPr="004C0D66">
        <w:t xml:space="preserve"> Belinda Karlsdóttir leysti undirritaða af í </w:t>
      </w:r>
      <w:r w:rsidR="00257DC2" w:rsidRPr="004C0D66">
        <w:t>fæðingaorlofi frá því í</w:t>
      </w:r>
      <w:r w:rsidRPr="004C0D66">
        <w:t xml:space="preserve"> mars 2011 og eru he</w:t>
      </w:r>
      <w:r w:rsidR="00257DC2" w:rsidRPr="004C0D66">
        <w:t>nni þakkir veittar fyrir gott</w:t>
      </w:r>
      <w:r w:rsidRPr="004C0D66">
        <w:t xml:space="preserve"> starf</w:t>
      </w:r>
      <w:r w:rsidR="0016418B" w:rsidRPr="004C0D66">
        <w:t xml:space="preserve"> og að fylgja eftir þeim breytingum sem þegar voru gerðar</w:t>
      </w:r>
      <w:r w:rsidRPr="004C0D66">
        <w:t>.</w:t>
      </w:r>
    </w:p>
    <w:p w:rsidR="0016418B" w:rsidRPr="004C0D66" w:rsidRDefault="0016418B" w:rsidP="00D94AC2">
      <w:pPr>
        <w:jc w:val="both"/>
      </w:pPr>
    </w:p>
    <w:p w:rsidR="0016418B" w:rsidRPr="004C0D66" w:rsidRDefault="0016418B" w:rsidP="0016418B">
      <w:pPr>
        <w:jc w:val="center"/>
      </w:pPr>
      <w:r w:rsidRPr="004C0D66">
        <w:t xml:space="preserve">Reykjavík </w:t>
      </w:r>
      <w:r w:rsidR="00257DC2" w:rsidRPr="004C0D66">
        <w:t>25. október</w:t>
      </w:r>
      <w:r w:rsidRPr="004C0D66">
        <w:t xml:space="preserve"> 2013</w:t>
      </w:r>
    </w:p>
    <w:p w:rsidR="0016418B" w:rsidRPr="004C0D66" w:rsidRDefault="0016418B" w:rsidP="0016418B">
      <w:pPr>
        <w:spacing w:after="0"/>
        <w:jc w:val="center"/>
      </w:pPr>
      <w:r w:rsidRPr="004C0D66">
        <w:t>Heiða Ösp Kristjánsdóttir</w:t>
      </w:r>
    </w:p>
    <w:p w:rsidR="0016418B" w:rsidRPr="004C0D66" w:rsidRDefault="0016418B" w:rsidP="0016418B">
      <w:pPr>
        <w:spacing w:after="0"/>
        <w:jc w:val="center"/>
      </w:pPr>
      <w:r w:rsidRPr="004C0D66">
        <w:t>Forstöðumaður unglingasmiðjanna Traðar og Stígs</w:t>
      </w:r>
    </w:p>
    <w:p w:rsidR="00D94AC2" w:rsidRPr="00C1433F" w:rsidRDefault="00D94AC2" w:rsidP="00D94AC2">
      <w:pPr>
        <w:jc w:val="both"/>
      </w:pPr>
    </w:p>
    <w:p w:rsidR="00D94AC2" w:rsidRPr="00C1433F" w:rsidRDefault="00D94AC2" w:rsidP="00D94AC2">
      <w:pPr>
        <w:jc w:val="center"/>
      </w:pPr>
    </w:p>
    <w:p w:rsidR="00D94AC2" w:rsidRPr="00C1433F" w:rsidRDefault="00D94AC2" w:rsidP="00D94AC2">
      <w:pPr>
        <w:jc w:val="both"/>
      </w:pPr>
    </w:p>
    <w:p w:rsidR="00510ACC" w:rsidRPr="00C1433F" w:rsidRDefault="00510ACC" w:rsidP="00E62883">
      <w:pPr>
        <w:rPr>
          <w:color w:val="FF0000"/>
        </w:rPr>
      </w:pPr>
    </w:p>
    <w:sectPr w:rsidR="00510ACC" w:rsidRPr="00C1433F" w:rsidSect="00532DE4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35" w:rsidRDefault="00C14935" w:rsidP="00453300">
      <w:pPr>
        <w:spacing w:after="0" w:line="240" w:lineRule="auto"/>
      </w:pPr>
      <w:r>
        <w:separator/>
      </w:r>
    </w:p>
  </w:endnote>
  <w:endnote w:type="continuationSeparator" w:id="0">
    <w:p w:rsidR="00C14935" w:rsidRDefault="00C14935" w:rsidP="0045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50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B06" w:rsidRDefault="00985F51">
        <w:pPr>
          <w:pStyle w:val="Suftur"/>
          <w:jc w:val="center"/>
        </w:pPr>
        <w:r>
          <w:fldChar w:fldCharType="begin"/>
        </w:r>
        <w:r w:rsidR="00083B06">
          <w:instrText xml:space="preserve"> PAGE   \* MERGEFORMAT </w:instrText>
        </w:r>
        <w:r>
          <w:fldChar w:fldCharType="separate"/>
        </w:r>
        <w:r w:rsidR="00361C46">
          <w:rPr>
            <w:noProof/>
          </w:rPr>
          <w:t>1</w:t>
        </w:r>
        <w:r>
          <w:fldChar w:fldCharType="end"/>
        </w:r>
      </w:p>
    </w:sdtContent>
  </w:sdt>
  <w:p w:rsidR="00083B06" w:rsidRDefault="00083B06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35" w:rsidRDefault="00C14935" w:rsidP="00453300">
      <w:pPr>
        <w:spacing w:after="0" w:line="240" w:lineRule="auto"/>
      </w:pPr>
      <w:r>
        <w:separator/>
      </w:r>
    </w:p>
  </w:footnote>
  <w:footnote w:type="continuationSeparator" w:id="0">
    <w:p w:rsidR="00C14935" w:rsidRDefault="00C14935" w:rsidP="0045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A1ACA"/>
    <w:lvl w:ilvl="0">
      <w:numFmt w:val="bullet"/>
      <w:lvlText w:val="*"/>
      <w:lvlJc w:val="left"/>
    </w:lvl>
  </w:abstractNum>
  <w:abstractNum w:abstractNumId="1">
    <w:nsid w:val="43B83760"/>
    <w:multiLevelType w:val="hybridMultilevel"/>
    <w:tmpl w:val="EEFA728A"/>
    <w:lvl w:ilvl="0" w:tplc="0B4E22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B0D44"/>
    <w:multiLevelType w:val="hybridMultilevel"/>
    <w:tmpl w:val="45DED9B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01D89"/>
    <w:multiLevelType w:val="hybridMultilevel"/>
    <w:tmpl w:val="27D227AC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89"/>
    <w:rsid w:val="00023257"/>
    <w:rsid w:val="000253F8"/>
    <w:rsid w:val="0002679B"/>
    <w:rsid w:val="00033B10"/>
    <w:rsid w:val="000349B1"/>
    <w:rsid w:val="000577C2"/>
    <w:rsid w:val="000610D8"/>
    <w:rsid w:val="00066BC8"/>
    <w:rsid w:val="00076118"/>
    <w:rsid w:val="00083B06"/>
    <w:rsid w:val="00086F4F"/>
    <w:rsid w:val="00093370"/>
    <w:rsid w:val="0009620C"/>
    <w:rsid w:val="000B4D92"/>
    <w:rsid w:val="000C1EEB"/>
    <w:rsid w:val="00103517"/>
    <w:rsid w:val="00131A43"/>
    <w:rsid w:val="001506BE"/>
    <w:rsid w:val="00152470"/>
    <w:rsid w:val="00163D75"/>
    <w:rsid w:val="0016418B"/>
    <w:rsid w:val="00176799"/>
    <w:rsid w:val="00176C9C"/>
    <w:rsid w:val="0018397A"/>
    <w:rsid w:val="0018404F"/>
    <w:rsid w:val="00184DEA"/>
    <w:rsid w:val="001B5F11"/>
    <w:rsid w:val="001B6DA4"/>
    <w:rsid w:val="001B7124"/>
    <w:rsid w:val="001E779C"/>
    <w:rsid w:val="00203C5C"/>
    <w:rsid w:val="00257DC2"/>
    <w:rsid w:val="002A22B5"/>
    <w:rsid w:val="002A296A"/>
    <w:rsid w:val="002D2313"/>
    <w:rsid w:val="002D3340"/>
    <w:rsid w:val="002E7AE8"/>
    <w:rsid w:val="002F673B"/>
    <w:rsid w:val="003122D5"/>
    <w:rsid w:val="003173E3"/>
    <w:rsid w:val="003247E5"/>
    <w:rsid w:val="00330961"/>
    <w:rsid w:val="00332CD7"/>
    <w:rsid w:val="003352DA"/>
    <w:rsid w:val="00361C46"/>
    <w:rsid w:val="00390DF8"/>
    <w:rsid w:val="003C492B"/>
    <w:rsid w:val="003D369E"/>
    <w:rsid w:val="003E36BB"/>
    <w:rsid w:val="003F7017"/>
    <w:rsid w:val="004025D1"/>
    <w:rsid w:val="0040708A"/>
    <w:rsid w:val="00412CDE"/>
    <w:rsid w:val="004135FB"/>
    <w:rsid w:val="0044289B"/>
    <w:rsid w:val="00453300"/>
    <w:rsid w:val="00494FB4"/>
    <w:rsid w:val="004B143B"/>
    <w:rsid w:val="004C0D66"/>
    <w:rsid w:val="005056AF"/>
    <w:rsid w:val="00510ACC"/>
    <w:rsid w:val="00532DE4"/>
    <w:rsid w:val="005633C9"/>
    <w:rsid w:val="0056613E"/>
    <w:rsid w:val="0058656D"/>
    <w:rsid w:val="005C3241"/>
    <w:rsid w:val="005D7A1B"/>
    <w:rsid w:val="005D7D1F"/>
    <w:rsid w:val="005E59A1"/>
    <w:rsid w:val="00641230"/>
    <w:rsid w:val="00673911"/>
    <w:rsid w:val="00695BD5"/>
    <w:rsid w:val="006A661E"/>
    <w:rsid w:val="006B166B"/>
    <w:rsid w:val="006F317B"/>
    <w:rsid w:val="006F72A6"/>
    <w:rsid w:val="00726B27"/>
    <w:rsid w:val="00736DC4"/>
    <w:rsid w:val="0074245F"/>
    <w:rsid w:val="00770D05"/>
    <w:rsid w:val="0083022F"/>
    <w:rsid w:val="008309C6"/>
    <w:rsid w:val="00860D02"/>
    <w:rsid w:val="008644A3"/>
    <w:rsid w:val="008701A4"/>
    <w:rsid w:val="00871293"/>
    <w:rsid w:val="00873D40"/>
    <w:rsid w:val="00873F18"/>
    <w:rsid w:val="00887DD2"/>
    <w:rsid w:val="008953C4"/>
    <w:rsid w:val="008C02B7"/>
    <w:rsid w:val="00925F0C"/>
    <w:rsid w:val="00945124"/>
    <w:rsid w:val="00950BC9"/>
    <w:rsid w:val="00951952"/>
    <w:rsid w:val="00974A19"/>
    <w:rsid w:val="0098303D"/>
    <w:rsid w:val="00985F51"/>
    <w:rsid w:val="009940EB"/>
    <w:rsid w:val="009B5789"/>
    <w:rsid w:val="009B5A4D"/>
    <w:rsid w:val="009B79F2"/>
    <w:rsid w:val="009C73B0"/>
    <w:rsid w:val="009D5D31"/>
    <w:rsid w:val="00A25C21"/>
    <w:rsid w:val="00A778EE"/>
    <w:rsid w:val="00AB6CE5"/>
    <w:rsid w:val="00AC253E"/>
    <w:rsid w:val="00AC540B"/>
    <w:rsid w:val="00AE0705"/>
    <w:rsid w:val="00AE571A"/>
    <w:rsid w:val="00B0405D"/>
    <w:rsid w:val="00B20E1C"/>
    <w:rsid w:val="00B24BC5"/>
    <w:rsid w:val="00B265A5"/>
    <w:rsid w:val="00B40337"/>
    <w:rsid w:val="00B55F15"/>
    <w:rsid w:val="00B85A57"/>
    <w:rsid w:val="00BA77F7"/>
    <w:rsid w:val="00BC631F"/>
    <w:rsid w:val="00BC64EE"/>
    <w:rsid w:val="00BD174C"/>
    <w:rsid w:val="00BF181F"/>
    <w:rsid w:val="00BF7F04"/>
    <w:rsid w:val="00C1433F"/>
    <w:rsid w:val="00C14935"/>
    <w:rsid w:val="00C17BAD"/>
    <w:rsid w:val="00C326F5"/>
    <w:rsid w:val="00C56F8D"/>
    <w:rsid w:val="00C65955"/>
    <w:rsid w:val="00C7496C"/>
    <w:rsid w:val="00C75A00"/>
    <w:rsid w:val="00CC40F7"/>
    <w:rsid w:val="00CF7750"/>
    <w:rsid w:val="00D000A0"/>
    <w:rsid w:val="00D3023D"/>
    <w:rsid w:val="00D377DD"/>
    <w:rsid w:val="00D86D1E"/>
    <w:rsid w:val="00D90BCD"/>
    <w:rsid w:val="00D94AC2"/>
    <w:rsid w:val="00DA33C8"/>
    <w:rsid w:val="00DB2E05"/>
    <w:rsid w:val="00E14703"/>
    <w:rsid w:val="00E21A87"/>
    <w:rsid w:val="00E220AB"/>
    <w:rsid w:val="00E36D80"/>
    <w:rsid w:val="00E477A7"/>
    <w:rsid w:val="00E52BC8"/>
    <w:rsid w:val="00E53B1B"/>
    <w:rsid w:val="00E62883"/>
    <w:rsid w:val="00E6592B"/>
    <w:rsid w:val="00E9034E"/>
    <w:rsid w:val="00EA500A"/>
    <w:rsid w:val="00EB058D"/>
    <w:rsid w:val="00EB2265"/>
    <w:rsid w:val="00EB5F65"/>
    <w:rsid w:val="00ED6A30"/>
    <w:rsid w:val="00EF3A92"/>
    <w:rsid w:val="00EF5E54"/>
    <w:rsid w:val="00F222EF"/>
    <w:rsid w:val="00F2350F"/>
    <w:rsid w:val="00F25DBF"/>
    <w:rsid w:val="00F842A1"/>
    <w:rsid w:val="00F920E4"/>
    <w:rsid w:val="00FA075C"/>
    <w:rsid w:val="00FA0E32"/>
    <w:rsid w:val="00FC7B9C"/>
    <w:rsid w:val="00FD1813"/>
    <w:rsid w:val="00FD42DB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532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532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B5789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45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53300"/>
  </w:style>
  <w:style w:type="paragraph" w:styleId="Suftur">
    <w:name w:val="footer"/>
    <w:basedOn w:val="Venjulegur"/>
    <w:link w:val="SufturStaf"/>
    <w:uiPriority w:val="99"/>
    <w:unhideWhenUsed/>
    <w:rsid w:val="0045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53300"/>
  </w:style>
  <w:style w:type="paragraph" w:styleId="Blrutexti">
    <w:name w:val="Balloon Text"/>
    <w:basedOn w:val="Venjulegur"/>
    <w:link w:val="BlrutextiStaf"/>
    <w:uiPriority w:val="99"/>
    <w:semiHidden/>
    <w:unhideWhenUsed/>
    <w:rsid w:val="000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253F8"/>
    <w:rPr>
      <w:rFonts w:ascii="Tahoma" w:hAnsi="Tahoma" w:cs="Tahoma"/>
      <w:sz w:val="16"/>
      <w:szCs w:val="16"/>
    </w:rPr>
  </w:style>
  <w:style w:type="table" w:styleId="Hnitanettflu">
    <w:name w:val="Table Grid"/>
    <w:basedOn w:val="Tafla-venjuleg"/>
    <w:uiPriority w:val="59"/>
    <w:rsid w:val="00E4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kringartexti">
    <w:name w:val="caption"/>
    <w:basedOn w:val="Venjulegur"/>
    <w:next w:val="Venjulegur"/>
    <w:uiPriority w:val="35"/>
    <w:unhideWhenUsed/>
    <w:qFormat/>
    <w:rsid w:val="00412CD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jslisti-hersla11">
    <w:name w:val="Ljós listi - áhersla 11"/>
    <w:basedOn w:val="Tafla-venjuleg"/>
    <w:uiPriority w:val="61"/>
    <w:rsid w:val="00402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jsskygging-hersla11">
    <w:name w:val="Ljós skygging - áhersla 11"/>
    <w:basedOn w:val="Tafla-venjuleg"/>
    <w:uiPriority w:val="60"/>
    <w:rsid w:val="003F70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ilvsunathugasemd">
    <w:name w:val="annotation reference"/>
    <w:basedOn w:val="Sjlfgefinleturgermlsgreinar"/>
    <w:uiPriority w:val="99"/>
    <w:semiHidden/>
    <w:unhideWhenUsed/>
    <w:rsid w:val="0087129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71293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71293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71293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71293"/>
    <w:rPr>
      <w:b/>
      <w:bCs/>
      <w:sz w:val="20"/>
      <w:szCs w:val="20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532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532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B20E1C"/>
    <w:pPr>
      <w:outlineLvl w:val="9"/>
    </w:pPr>
    <w:rPr>
      <w:lang w:eastAsia="is-I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B20E1C"/>
    <w:pPr>
      <w:spacing w:after="100"/>
    </w:pPr>
  </w:style>
  <w:style w:type="paragraph" w:styleId="Efnisyfirlit2">
    <w:name w:val="toc 2"/>
    <w:basedOn w:val="Venjulegur"/>
    <w:next w:val="Venjulegur"/>
    <w:autoRedefine/>
    <w:uiPriority w:val="39"/>
    <w:unhideWhenUsed/>
    <w:rsid w:val="00B20E1C"/>
    <w:pPr>
      <w:spacing w:after="100"/>
      <w:ind w:left="220"/>
    </w:pPr>
  </w:style>
  <w:style w:type="character" w:styleId="Tengill">
    <w:name w:val="Hyperlink"/>
    <w:basedOn w:val="Sjlfgefinleturgermlsgreinar"/>
    <w:uiPriority w:val="99"/>
    <w:unhideWhenUsed/>
    <w:rsid w:val="00B20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532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532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B5789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45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53300"/>
  </w:style>
  <w:style w:type="paragraph" w:styleId="Suftur">
    <w:name w:val="footer"/>
    <w:basedOn w:val="Venjulegur"/>
    <w:link w:val="SufturStaf"/>
    <w:uiPriority w:val="99"/>
    <w:unhideWhenUsed/>
    <w:rsid w:val="0045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53300"/>
  </w:style>
  <w:style w:type="paragraph" w:styleId="Blrutexti">
    <w:name w:val="Balloon Text"/>
    <w:basedOn w:val="Venjulegur"/>
    <w:link w:val="BlrutextiStaf"/>
    <w:uiPriority w:val="99"/>
    <w:semiHidden/>
    <w:unhideWhenUsed/>
    <w:rsid w:val="000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253F8"/>
    <w:rPr>
      <w:rFonts w:ascii="Tahoma" w:hAnsi="Tahoma" w:cs="Tahoma"/>
      <w:sz w:val="16"/>
      <w:szCs w:val="16"/>
    </w:rPr>
  </w:style>
  <w:style w:type="table" w:styleId="Hnitanettflu">
    <w:name w:val="Table Grid"/>
    <w:basedOn w:val="Tafla-venjuleg"/>
    <w:uiPriority w:val="59"/>
    <w:rsid w:val="00E4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kringartexti">
    <w:name w:val="caption"/>
    <w:basedOn w:val="Venjulegur"/>
    <w:next w:val="Venjulegur"/>
    <w:uiPriority w:val="35"/>
    <w:unhideWhenUsed/>
    <w:qFormat/>
    <w:rsid w:val="00412CD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jslisti-hersla11">
    <w:name w:val="Ljós listi - áhersla 11"/>
    <w:basedOn w:val="Tafla-venjuleg"/>
    <w:uiPriority w:val="61"/>
    <w:rsid w:val="00402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jsskygging-hersla11">
    <w:name w:val="Ljós skygging - áhersla 11"/>
    <w:basedOn w:val="Tafla-venjuleg"/>
    <w:uiPriority w:val="60"/>
    <w:rsid w:val="003F70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ilvsunathugasemd">
    <w:name w:val="annotation reference"/>
    <w:basedOn w:val="Sjlfgefinleturgermlsgreinar"/>
    <w:uiPriority w:val="99"/>
    <w:semiHidden/>
    <w:unhideWhenUsed/>
    <w:rsid w:val="0087129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71293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71293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71293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71293"/>
    <w:rPr>
      <w:b/>
      <w:bCs/>
      <w:sz w:val="20"/>
      <w:szCs w:val="20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532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532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B20E1C"/>
    <w:pPr>
      <w:outlineLvl w:val="9"/>
    </w:pPr>
    <w:rPr>
      <w:lang w:eastAsia="is-I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B20E1C"/>
    <w:pPr>
      <w:spacing w:after="100"/>
    </w:pPr>
  </w:style>
  <w:style w:type="paragraph" w:styleId="Efnisyfirlit2">
    <w:name w:val="toc 2"/>
    <w:basedOn w:val="Venjulegur"/>
    <w:next w:val="Venjulegur"/>
    <w:autoRedefine/>
    <w:uiPriority w:val="39"/>
    <w:unhideWhenUsed/>
    <w:rsid w:val="00B20E1C"/>
    <w:pPr>
      <w:spacing w:after="100"/>
      <w:ind w:left="220"/>
    </w:pPr>
  </w:style>
  <w:style w:type="character" w:styleId="Tengill">
    <w:name w:val="Hyperlink"/>
    <w:basedOn w:val="Sjlfgefinleturgermlsgreinar"/>
    <w:uiPriority w:val="99"/>
    <w:unhideWhenUsed/>
    <w:rsid w:val="00B20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FJAP\Desktop\&#193;rsk&#253;rsla%20Hei&#240;a\T&#246;flur%20&#237;%20&#225;rssk&#253;rslu%202011-2012_laga&#240;%20af%20J&#243;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FJAP\Desktop\&#193;rsk&#253;rsla%20Hei&#240;a\T&#246;flur%20&#237;%20&#225;rssk&#253;rslu%202011-2012_laga&#240;%20af%20J&#243;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FJAP\Desktop\&#193;rsk&#253;rsla%20Hei&#240;a\T&#246;flur%20&#237;%20&#225;rssk&#253;rslu%202011-2012_laga&#240;%20af%20J&#243;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Nýjar umsóknir á Stíg 2011-2012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702424411085866E-2"/>
          <c:y val="0.2020145231219598"/>
          <c:w val="0.6674717847769025"/>
          <c:h val="0.64767096821230674"/>
        </c:manualLayout>
      </c:layout>
      <c:pie3DChart>
        <c:varyColors val="1"/>
        <c:ser>
          <c:idx val="0"/>
          <c:order val="0"/>
          <c:tx>
            <c:strRef>
              <c:f>Sheet3!$A$3</c:f>
              <c:strCache>
                <c:ptCount val="1"/>
                <c:pt idx="0">
                  <c:v>Stígur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9268693284441335"/>
                  <c:y val="-6.5971364339331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47556217634959"/>
                  <c:y val="-4.31198852671923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is-I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Sheet3!$B$1:$C$2</c:f>
              <c:strCache>
                <c:ptCount val="2"/>
                <c:pt idx="0">
                  <c:v>Strákar</c:v>
                </c:pt>
                <c:pt idx="1">
                  <c:v>Stelpur</c:v>
                </c:pt>
              </c:strCache>
            </c:strRef>
          </c:cat>
          <c:val>
            <c:numRef>
              <c:f>Sheet3!$B$3:$C$3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Sheet3!$A$4</c:f>
              <c:strCache>
                <c:ptCount val="1"/>
                <c:pt idx="0">
                  <c:v>Tröð</c:v>
                </c:pt>
              </c:strCache>
            </c:strRef>
          </c:tx>
          <c:explosion val="25"/>
          <c:cat>
            <c:strRef>
              <c:f>Sheet3!$B$1:$C$2</c:f>
              <c:strCache>
                <c:ptCount val="2"/>
                <c:pt idx="0">
                  <c:v>Strákar</c:v>
                </c:pt>
                <c:pt idx="1">
                  <c:v>Stelpur</c:v>
                </c:pt>
              </c:strCache>
            </c:strRef>
          </c:cat>
          <c:val>
            <c:numRef>
              <c:f>Sheet3!$B$4:$C$4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81612576552930871"/>
          <c:y val="0.48798410615339782"/>
          <c:w val="0.16720756780402468"/>
          <c:h val="0.16280475357247076"/>
        </c:manualLayout>
      </c:layout>
      <c:overlay val="0"/>
      <c:txPr>
        <a:bodyPr/>
        <a:lstStyle/>
        <a:p>
          <a:pPr>
            <a:defRPr sz="1200" b="1"/>
          </a:pPr>
          <a:endParaRPr lang="is-I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Nýjar umsóknir í Tröð 2011-2012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0"/>
          <c:tx>
            <c:strRef>
              <c:f>Sheet3!$A$4</c:f>
              <c:strCache>
                <c:ptCount val="1"/>
                <c:pt idx="0">
                  <c:v>Tröð</c:v>
                </c:pt>
              </c:strCache>
            </c:strRef>
          </c:tx>
          <c:explosion val="22"/>
          <c:dLbls>
            <c:dLbl>
              <c:idx val="0"/>
              <c:layout>
                <c:manualLayout>
                  <c:x val="-0.14917300962379687"/>
                  <c:y val="-8.35699183435407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004188538932693"/>
                  <c:y val="9.699985418489405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is-I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Sheet3!$B$1:$C$2</c:f>
              <c:strCache>
                <c:ptCount val="2"/>
                <c:pt idx="0">
                  <c:v>Strákar</c:v>
                </c:pt>
                <c:pt idx="1">
                  <c:v>Stelpur</c:v>
                </c:pt>
              </c:strCache>
            </c:strRef>
          </c:cat>
          <c:val>
            <c:numRef>
              <c:f>Sheet3!$B$4:$C$4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822156605424314"/>
          <c:y val="0.47677748614756488"/>
          <c:w val="0.14511176727909011"/>
          <c:h val="0.16669947506561678"/>
        </c:manualLayout>
      </c:layout>
      <c:overlay val="0"/>
      <c:txPr>
        <a:bodyPr/>
        <a:lstStyle/>
        <a:p>
          <a:pPr>
            <a:defRPr sz="1200" b="1"/>
          </a:pPr>
          <a:endParaRPr lang="is-I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Skóli nýrra vistaðra</a:t>
            </a:r>
            <a:r>
              <a:rPr lang="en-US" baseline="0"/>
              <a:t> eftir smiðjum 2012-2013</a:t>
            </a:r>
          </a:p>
          <a:p>
            <a:pPr>
              <a:defRPr/>
            </a:pPr>
            <a:endParaRPr lang="en-US"/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'2011-3'!$B$2</c:f>
              <c:strCache>
                <c:ptCount val="1"/>
                <c:pt idx="0">
                  <c:v>Stígur</c:v>
                </c:pt>
              </c:strCache>
            </c:strRef>
          </c:tx>
          <c:invertIfNegative val="0"/>
          <c:cat>
            <c:strRef>
              <c:f>'2011-3'!$A$3:$A$20</c:f>
              <c:strCache>
                <c:ptCount val="18"/>
                <c:pt idx="0">
                  <c:v>Árbæjarskóli</c:v>
                </c:pt>
                <c:pt idx="1">
                  <c:v>Breiðholtsskóli</c:v>
                </c:pt>
                <c:pt idx="2">
                  <c:v>Brúarskóli</c:v>
                </c:pt>
                <c:pt idx="3">
                  <c:v>Fellaskóli</c:v>
                </c:pt>
                <c:pt idx="4">
                  <c:v>Foldaskóli</c:v>
                </c:pt>
                <c:pt idx="5">
                  <c:v>Hagaskóli</c:v>
                </c:pt>
                <c:pt idx="6">
                  <c:v>Hamraskóli</c:v>
                </c:pt>
                <c:pt idx="7">
                  <c:v>Hlíðaskóli</c:v>
                </c:pt>
                <c:pt idx="8">
                  <c:v>Húsaskóli</c:v>
                </c:pt>
                <c:pt idx="9">
                  <c:v>Langholtsskóli</c:v>
                </c:pt>
                <c:pt idx="10">
                  <c:v>Norðlingaskóli</c:v>
                </c:pt>
                <c:pt idx="11">
                  <c:v>Réttarholtsskóli</c:v>
                </c:pt>
                <c:pt idx="12">
                  <c:v>Sæmundarskóli</c:v>
                </c:pt>
                <c:pt idx="13">
                  <c:v>Tjarnarskóli</c:v>
                </c:pt>
                <c:pt idx="14">
                  <c:v>Víkurskóli</c:v>
                </c:pt>
                <c:pt idx="15">
                  <c:v>Vogaskóli</c:v>
                </c:pt>
                <c:pt idx="16">
                  <c:v>Waldorfskóli</c:v>
                </c:pt>
                <c:pt idx="17">
                  <c:v>Ölduselsskóli</c:v>
                </c:pt>
              </c:strCache>
            </c:strRef>
          </c:cat>
          <c:val>
            <c:numRef>
              <c:f>'2011-3'!$B$3:$B$20</c:f>
              <c:numCache>
                <c:formatCode>General</c:formatCode>
                <c:ptCount val="18"/>
                <c:pt idx="2">
                  <c:v>1</c:v>
                </c:pt>
                <c:pt idx="5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5">
                  <c:v>2</c:v>
                </c:pt>
                <c:pt idx="16">
                  <c:v>2</c:v>
                </c:pt>
              </c:numCache>
            </c:numRef>
          </c:val>
        </c:ser>
        <c:ser>
          <c:idx val="1"/>
          <c:order val="1"/>
          <c:tx>
            <c:strRef>
              <c:f>'2011-3'!$C$2</c:f>
              <c:strCache>
                <c:ptCount val="1"/>
                <c:pt idx="0">
                  <c:v>Tröð</c:v>
                </c:pt>
              </c:strCache>
            </c:strRef>
          </c:tx>
          <c:invertIfNegative val="0"/>
          <c:cat>
            <c:strRef>
              <c:f>'2011-3'!$A$3:$A$20</c:f>
              <c:strCache>
                <c:ptCount val="18"/>
                <c:pt idx="0">
                  <c:v>Árbæjarskóli</c:v>
                </c:pt>
                <c:pt idx="1">
                  <c:v>Breiðholtsskóli</c:v>
                </c:pt>
                <c:pt idx="2">
                  <c:v>Brúarskóli</c:v>
                </c:pt>
                <c:pt idx="3">
                  <c:v>Fellaskóli</c:v>
                </c:pt>
                <c:pt idx="4">
                  <c:v>Foldaskóli</c:v>
                </c:pt>
                <c:pt idx="5">
                  <c:v>Hagaskóli</c:v>
                </c:pt>
                <c:pt idx="6">
                  <c:v>Hamraskóli</c:v>
                </c:pt>
                <c:pt idx="7">
                  <c:v>Hlíðaskóli</c:v>
                </c:pt>
                <c:pt idx="8">
                  <c:v>Húsaskóli</c:v>
                </c:pt>
                <c:pt idx="9">
                  <c:v>Langholtsskóli</c:v>
                </c:pt>
                <c:pt idx="10">
                  <c:v>Norðlingaskóli</c:v>
                </c:pt>
                <c:pt idx="11">
                  <c:v>Réttarholtsskóli</c:v>
                </c:pt>
                <c:pt idx="12">
                  <c:v>Sæmundarskóli</c:v>
                </c:pt>
                <c:pt idx="13">
                  <c:v>Tjarnarskóli</c:v>
                </c:pt>
                <c:pt idx="14">
                  <c:v>Víkurskóli</c:v>
                </c:pt>
                <c:pt idx="15">
                  <c:v>Vogaskóli</c:v>
                </c:pt>
                <c:pt idx="16">
                  <c:v>Waldorfskóli</c:v>
                </c:pt>
                <c:pt idx="17">
                  <c:v>Ölduselsskóli</c:v>
                </c:pt>
              </c:strCache>
            </c:strRef>
          </c:cat>
          <c:val>
            <c:numRef>
              <c:f>'2011-3'!$C$3:$C$20</c:f>
              <c:numCache>
                <c:formatCode>General</c:formatCode>
                <c:ptCount val="18"/>
                <c:pt idx="0">
                  <c:v>5</c:v>
                </c:pt>
                <c:pt idx="1">
                  <c:v>2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  <c:pt idx="10">
                  <c:v>1</c:v>
                </c:pt>
                <c:pt idx="13">
                  <c:v>1</c:v>
                </c:pt>
                <c:pt idx="14">
                  <c:v>1</c:v>
                </c:pt>
                <c:pt idx="1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885504"/>
        <c:axId val="108887040"/>
      </c:barChart>
      <c:catAx>
        <c:axId val="10888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8887040"/>
        <c:crosses val="autoZero"/>
        <c:auto val="1"/>
        <c:lblAlgn val="ctr"/>
        <c:lblOffset val="100"/>
        <c:noMultiLvlLbl val="0"/>
      </c:catAx>
      <c:valAx>
        <c:axId val="108887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8885504"/>
        <c:crosses val="autoZero"/>
        <c:crossBetween val="between"/>
        <c:majorUnit val="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Umsóknaraðilar nýrra vistaðra 2011-2012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'2011-4'!$B$3</c:f>
              <c:strCache>
                <c:ptCount val="1"/>
                <c:pt idx="0">
                  <c:v>Samtals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'2011-4'!$A$4:$A$10</c:f>
              <c:strCache>
                <c:ptCount val="7"/>
                <c:pt idx="0">
                  <c:v>ÞB</c:v>
                </c:pt>
                <c:pt idx="1">
                  <c:v>ÞÁG</c:v>
                </c:pt>
                <c:pt idx="2">
                  <c:v>Miðgarður</c:v>
                </c:pt>
                <c:pt idx="3">
                  <c:v>ÞLH</c:v>
                </c:pt>
                <c:pt idx="4">
                  <c:v>ÞMH</c:v>
                </c:pt>
                <c:pt idx="5">
                  <c:v>Vesturgarður</c:v>
                </c:pt>
                <c:pt idx="6">
                  <c:v>Barnavernd</c:v>
                </c:pt>
              </c:strCache>
            </c:strRef>
          </c:cat>
          <c:val>
            <c:numRef>
              <c:f>'2011-4'!$B$4:$B$10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568576"/>
        <c:axId val="108570112"/>
        <c:axId val="0"/>
      </c:bar3DChart>
      <c:catAx>
        <c:axId val="10856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570112"/>
        <c:crosses val="autoZero"/>
        <c:auto val="1"/>
        <c:lblAlgn val="ctr"/>
        <c:lblOffset val="100"/>
        <c:noMultiLvlLbl val="0"/>
      </c:catAx>
      <c:valAx>
        <c:axId val="10857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856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Dvalarlengd útskrifaðra 2011-2012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Samtals þáttakenda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Sheet1!$A$3:$A$8</c:f>
              <c:strCache>
                <c:ptCount val="6"/>
                <c:pt idx="0">
                  <c:v>1-4 mánuðir</c:v>
                </c:pt>
                <c:pt idx="1">
                  <c:v>5-8 mánuðir</c:v>
                </c:pt>
                <c:pt idx="2">
                  <c:v>9-12 mánuðir</c:v>
                </c:pt>
                <c:pt idx="3">
                  <c:v>13-16 mánuðir</c:v>
                </c:pt>
                <c:pt idx="4">
                  <c:v>17-20 mánuðir</c:v>
                </c:pt>
                <c:pt idx="5">
                  <c:v>21-24 mánuðir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14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588032"/>
        <c:axId val="108946176"/>
        <c:axId val="0"/>
      </c:bar3DChart>
      <c:catAx>
        <c:axId val="10858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8946176"/>
        <c:crosses val="autoZero"/>
        <c:auto val="1"/>
        <c:lblAlgn val="ctr"/>
        <c:lblOffset val="100"/>
        <c:noMultiLvlLbl val="0"/>
      </c:catAx>
      <c:valAx>
        <c:axId val="108946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858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AC39-CB9F-43BE-B038-3D7D46A8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2336</Words>
  <Characters>13320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</dc:creator>
  <cp:lastModifiedBy>user</cp:lastModifiedBy>
  <cp:revision>3</cp:revision>
  <cp:lastPrinted>2013-10-31T17:07:00Z</cp:lastPrinted>
  <dcterms:created xsi:type="dcterms:W3CDTF">2013-11-01T08:46:00Z</dcterms:created>
  <dcterms:modified xsi:type="dcterms:W3CDTF">2013-11-01T09:21:00Z</dcterms:modified>
</cp:coreProperties>
</file>